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D4" w:rsidRPr="00386613" w:rsidRDefault="00FB62D4" w:rsidP="0092410E">
      <w:pPr>
        <w:jc w:val="both"/>
        <w:rPr>
          <w:b/>
          <w:lang w:val="tr-TR"/>
        </w:rPr>
      </w:pPr>
      <w:r w:rsidRPr="00386613">
        <w:rPr>
          <w:b/>
          <w:lang w:val="tr-TR"/>
        </w:rPr>
        <w:t xml:space="preserve">Jean </w:t>
      </w:r>
      <w:proofErr w:type="spellStart"/>
      <w:r w:rsidRPr="00386613">
        <w:rPr>
          <w:b/>
          <w:lang w:val="tr-TR"/>
        </w:rPr>
        <w:t>Monnet</w:t>
      </w:r>
      <w:proofErr w:type="spellEnd"/>
      <w:r w:rsidRPr="00386613">
        <w:rPr>
          <w:b/>
          <w:lang w:val="tr-TR"/>
        </w:rPr>
        <w:t xml:space="preserve"> soru ve cevapları</w:t>
      </w:r>
    </w:p>
    <w:p w:rsidR="00B44F37" w:rsidRPr="00386613" w:rsidRDefault="00B44F37" w:rsidP="0092410E">
      <w:pPr>
        <w:pStyle w:val="ListParagraph"/>
        <w:numPr>
          <w:ilvl w:val="0"/>
          <w:numId w:val="1"/>
        </w:numPr>
        <w:jc w:val="both"/>
        <w:rPr>
          <w:b/>
          <w:lang w:val="tr-TR"/>
        </w:rPr>
      </w:pPr>
      <w:r w:rsidRPr="00386613">
        <w:rPr>
          <w:b/>
          <w:lang w:val="tr-TR"/>
        </w:rPr>
        <w:t>JM hibelerinde 2021 ve sonrası için öncelikli alanlar var mıdır? Nelerdir?</w:t>
      </w:r>
    </w:p>
    <w:p w:rsidR="00E23584" w:rsidRPr="00386613" w:rsidRDefault="00E23584" w:rsidP="0092410E">
      <w:pPr>
        <w:pStyle w:val="ListParagraph"/>
        <w:jc w:val="both"/>
        <w:rPr>
          <w:lang w:val="tr-TR"/>
        </w:rPr>
      </w:pPr>
    </w:p>
    <w:p w:rsidR="00FB62D4" w:rsidRPr="00386613" w:rsidRDefault="00FB62D4" w:rsidP="0092410E">
      <w:pPr>
        <w:pStyle w:val="ListParagraph"/>
        <w:ind w:left="0"/>
        <w:jc w:val="both"/>
        <w:rPr>
          <w:lang w:val="tr-TR"/>
        </w:rPr>
      </w:pPr>
      <w:r w:rsidRPr="00386613">
        <w:rPr>
          <w:lang w:val="tr-TR"/>
        </w:rPr>
        <w:t xml:space="preserve">Bilindiği üzere, Jean </w:t>
      </w:r>
      <w:proofErr w:type="spellStart"/>
      <w:r w:rsidRPr="00386613">
        <w:rPr>
          <w:lang w:val="tr-TR"/>
        </w:rPr>
        <w:t>Monnet</w:t>
      </w:r>
      <w:proofErr w:type="spellEnd"/>
      <w:r w:rsidRPr="00386613">
        <w:rPr>
          <w:lang w:val="tr-TR"/>
        </w:rPr>
        <w:t xml:space="preserve"> projelerinin tamamının AB çalışmaları alanında tasarlanması gerekmektedir. 2021 yılı için şu ana kadar belirlenmiş </w:t>
      </w:r>
      <w:r w:rsidR="00BB4B3F" w:rsidRPr="00386613">
        <w:rPr>
          <w:lang w:val="tr-TR"/>
        </w:rPr>
        <w:t>ve Ulusal A</w:t>
      </w:r>
      <w:r w:rsidRPr="00386613">
        <w:rPr>
          <w:lang w:val="tr-TR"/>
        </w:rPr>
        <w:t>janslar</w:t>
      </w:r>
      <w:r w:rsidR="00BB4B3F" w:rsidRPr="00386613">
        <w:rPr>
          <w:lang w:val="tr-TR"/>
        </w:rPr>
        <w:t xml:space="preserve"> ile</w:t>
      </w:r>
      <w:r w:rsidRPr="00386613">
        <w:rPr>
          <w:lang w:val="tr-TR"/>
        </w:rPr>
        <w:t xml:space="preserve"> paylaşılmış bir öncelik bulunmamakla birlikte, 2021 </w:t>
      </w:r>
      <w:r w:rsidR="00BB4B3F" w:rsidRPr="00386613">
        <w:rPr>
          <w:lang w:val="tr-TR"/>
        </w:rPr>
        <w:t xml:space="preserve">yılı </w:t>
      </w:r>
      <w:r w:rsidRPr="00386613">
        <w:rPr>
          <w:lang w:val="tr-TR"/>
        </w:rPr>
        <w:t>program rehberi çıktığında herhangi bir öncelik belirtilip belirtilmediği kontrol edilmelidir.</w:t>
      </w:r>
      <w:r w:rsidR="002A31FE" w:rsidRPr="00386613">
        <w:rPr>
          <w:lang w:val="tr-TR"/>
        </w:rPr>
        <w:t xml:space="preserve"> Öncelik </w:t>
      </w:r>
      <w:r w:rsidR="003E6806" w:rsidRPr="00386613">
        <w:rPr>
          <w:lang w:val="tr-TR"/>
        </w:rPr>
        <w:t xml:space="preserve">belirtilsin ya da belirtilmesin, </w:t>
      </w:r>
      <w:r w:rsidR="002A31FE" w:rsidRPr="00386613">
        <w:rPr>
          <w:lang w:val="tr-TR"/>
        </w:rPr>
        <w:t xml:space="preserve">seçilen konunun </w:t>
      </w:r>
      <w:r w:rsidR="003E6806" w:rsidRPr="00386613">
        <w:rPr>
          <w:lang w:val="tr-TR"/>
        </w:rPr>
        <w:t xml:space="preserve">neden seçildiği, </w:t>
      </w:r>
      <w:r w:rsidR="002A31FE" w:rsidRPr="00386613">
        <w:rPr>
          <w:lang w:val="tr-TR"/>
        </w:rPr>
        <w:t>önemi</w:t>
      </w:r>
      <w:r w:rsidR="003E6806" w:rsidRPr="00386613">
        <w:rPr>
          <w:lang w:val="tr-TR"/>
        </w:rPr>
        <w:t xml:space="preserve">, gerekliliği başvuru formunda ilgili soru altında izah edilmeli, değerlendirici konuyla ilgili olarak ikna edilmelidir. </w:t>
      </w:r>
      <w:r w:rsidR="002A31FE" w:rsidRPr="00386613">
        <w:rPr>
          <w:lang w:val="tr-TR"/>
        </w:rPr>
        <w:t xml:space="preserve"> </w:t>
      </w:r>
    </w:p>
    <w:p w:rsidR="00FB62D4" w:rsidRPr="00386613" w:rsidRDefault="00FB62D4" w:rsidP="0092410E">
      <w:pPr>
        <w:pStyle w:val="ListParagraph"/>
        <w:jc w:val="both"/>
        <w:rPr>
          <w:b/>
          <w:lang w:val="tr-TR"/>
        </w:rPr>
      </w:pPr>
    </w:p>
    <w:p w:rsidR="00B44F37" w:rsidRPr="00386613" w:rsidRDefault="00B44F37" w:rsidP="0092410E">
      <w:pPr>
        <w:pStyle w:val="ListParagraph"/>
        <w:numPr>
          <w:ilvl w:val="0"/>
          <w:numId w:val="1"/>
        </w:numPr>
        <w:jc w:val="both"/>
        <w:rPr>
          <w:b/>
          <w:lang w:val="tr-TR"/>
        </w:rPr>
      </w:pPr>
      <w:r w:rsidRPr="00386613">
        <w:rPr>
          <w:b/>
          <w:lang w:val="tr-TR"/>
        </w:rPr>
        <w:t>Avrupa Birliği konuları 32 fasıl mıdır?</w:t>
      </w:r>
    </w:p>
    <w:p w:rsidR="00FB62D4" w:rsidRPr="00386613" w:rsidRDefault="00FB62D4" w:rsidP="0092410E">
      <w:pPr>
        <w:pStyle w:val="ListParagraph"/>
        <w:jc w:val="both"/>
        <w:rPr>
          <w:b/>
          <w:lang w:val="tr-TR"/>
        </w:rPr>
      </w:pPr>
    </w:p>
    <w:p w:rsidR="005D532D" w:rsidRPr="00386613" w:rsidRDefault="005D532D" w:rsidP="0092410E">
      <w:pPr>
        <w:pStyle w:val="ListParagraph"/>
        <w:ind w:left="0"/>
        <w:jc w:val="both"/>
        <w:rPr>
          <w:lang w:val="tr-TR"/>
        </w:rPr>
      </w:pPr>
      <w:r w:rsidRPr="00386613">
        <w:rPr>
          <w:lang w:val="tr-TR"/>
        </w:rPr>
        <w:t>Müzakere fasılları il</w:t>
      </w:r>
      <w:r w:rsidR="00FB62D4" w:rsidRPr="00386613">
        <w:rPr>
          <w:lang w:val="tr-TR"/>
        </w:rPr>
        <w:t>e</w:t>
      </w:r>
      <w:r w:rsidRPr="00386613">
        <w:rPr>
          <w:lang w:val="tr-TR"/>
        </w:rPr>
        <w:t xml:space="preserve"> </w:t>
      </w:r>
      <w:r w:rsidR="00FB62D4" w:rsidRPr="00386613">
        <w:rPr>
          <w:lang w:val="tr-TR"/>
        </w:rPr>
        <w:t xml:space="preserve">ilgili olarak AB </w:t>
      </w:r>
      <w:r w:rsidRPr="00386613">
        <w:rPr>
          <w:lang w:val="tr-TR"/>
        </w:rPr>
        <w:t xml:space="preserve">Başkanlığının </w:t>
      </w:r>
      <w:hyperlink r:id="rId5" w:history="1">
        <w:r w:rsidRPr="00386613">
          <w:rPr>
            <w:rStyle w:val="Hyperlink"/>
            <w:lang w:val="tr-TR"/>
          </w:rPr>
          <w:t>https://www.ab.gov.tr/62.html</w:t>
        </w:r>
      </w:hyperlink>
      <w:r w:rsidRPr="00386613">
        <w:rPr>
          <w:lang w:val="tr-TR"/>
        </w:rPr>
        <w:t xml:space="preserve"> linkinden bilgi alınabilmekle birlikte, </w:t>
      </w:r>
      <w:r w:rsidR="00FB62D4" w:rsidRPr="00386613">
        <w:rPr>
          <w:lang w:val="tr-TR"/>
        </w:rPr>
        <w:t xml:space="preserve">Jean </w:t>
      </w:r>
      <w:proofErr w:type="spellStart"/>
      <w:r w:rsidR="00FB62D4" w:rsidRPr="00386613">
        <w:rPr>
          <w:lang w:val="tr-TR"/>
        </w:rPr>
        <w:t>Monnet</w:t>
      </w:r>
      <w:proofErr w:type="spellEnd"/>
      <w:r w:rsidR="00FB62D4" w:rsidRPr="00386613">
        <w:rPr>
          <w:lang w:val="tr-TR"/>
        </w:rPr>
        <w:t xml:space="preserve"> projelerinin doğr</w:t>
      </w:r>
      <w:r w:rsidRPr="00386613">
        <w:rPr>
          <w:lang w:val="tr-TR"/>
        </w:rPr>
        <w:t>udan fasıllarla ilgili olma zorunluluğu bulunm</w:t>
      </w:r>
      <w:r w:rsidR="0043716B" w:rsidRPr="00386613">
        <w:rPr>
          <w:lang w:val="tr-TR"/>
        </w:rPr>
        <w:t xml:space="preserve">amaktadır, yol gösterici olarak değerlendirilebilir. </w:t>
      </w:r>
    </w:p>
    <w:p w:rsidR="00FB62D4" w:rsidRPr="00386613" w:rsidRDefault="00FB62D4" w:rsidP="0092410E">
      <w:pPr>
        <w:pStyle w:val="ListParagraph"/>
        <w:jc w:val="both"/>
        <w:rPr>
          <w:b/>
          <w:lang w:val="tr-TR"/>
        </w:rPr>
      </w:pPr>
    </w:p>
    <w:p w:rsidR="0092410E" w:rsidRPr="00386613" w:rsidRDefault="0043716B" w:rsidP="00EE2C77">
      <w:pPr>
        <w:pStyle w:val="ListParagraph"/>
        <w:numPr>
          <w:ilvl w:val="0"/>
          <w:numId w:val="1"/>
        </w:numPr>
        <w:jc w:val="both"/>
        <w:rPr>
          <w:b/>
          <w:lang w:val="tr-TR"/>
        </w:rPr>
      </w:pPr>
      <w:r w:rsidRPr="00386613">
        <w:rPr>
          <w:b/>
          <w:lang w:val="tr-TR"/>
        </w:rPr>
        <w:t>Ö</w:t>
      </w:r>
      <w:r w:rsidR="00B44F37" w:rsidRPr="00386613">
        <w:rPr>
          <w:b/>
          <w:lang w:val="tr-TR"/>
        </w:rPr>
        <w:t xml:space="preserve">nceki yıllarda </w:t>
      </w:r>
      <w:r w:rsidRPr="00386613">
        <w:rPr>
          <w:b/>
          <w:lang w:val="tr-TR"/>
        </w:rPr>
        <w:t xml:space="preserve">uluslararası ilişkiler ve eğitim dışındaki alanlar da </w:t>
      </w:r>
      <w:r w:rsidR="00B44F37" w:rsidRPr="00386613">
        <w:rPr>
          <w:b/>
          <w:lang w:val="tr-TR"/>
        </w:rPr>
        <w:t xml:space="preserve">Jean </w:t>
      </w:r>
      <w:proofErr w:type="spellStart"/>
      <w:r w:rsidR="00B44F37" w:rsidRPr="00386613">
        <w:rPr>
          <w:b/>
          <w:lang w:val="tr-TR"/>
        </w:rPr>
        <w:t>Monnet</w:t>
      </w:r>
      <w:proofErr w:type="spellEnd"/>
      <w:r w:rsidRPr="00386613">
        <w:rPr>
          <w:b/>
          <w:lang w:val="tr-TR"/>
        </w:rPr>
        <w:t xml:space="preserve"> projesi desteklendiğini görmüştüm. </w:t>
      </w:r>
      <w:r w:rsidR="00B44F37" w:rsidRPr="00386613">
        <w:rPr>
          <w:b/>
          <w:lang w:val="tr-TR"/>
        </w:rPr>
        <w:t xml:space="preserve">Böyle bir başvuru artık yok mudur? Bana kalırsa farklı alanlar AB çalışmalarına </w:t>
      </w:r>
      <w:proofErr w:type="gramStart"/>
      <w:r w:rsidR="00B44F37" w:rsidRPr="00386613">
        <w:rPr>
          <w:b/>
          <w:lang w:val="tr-TR"/>
        </w:rPr>
        <w:t>entegre</w:t>
      </w:r>
      <w:proofErr w:type="gramEnd"/>
      <w:r w:rsidR="00B44F37" w:rsidRPr="00386613">
        <w:rPr>
          <w:b/>
          <w:lang w:val="tr-TR"/>
        </w:rPr>
        <w:t xml:space="preserve"> edilebilir. Yani güvenlik konusu AB hedefleriyle ilişkilendirilip (AB bilinci </w:t>
      </w:r>
      <w:proofErr w:type="spellStart"/>
      <w:r w:rsidR="00B44F37" w:rsidRPr="00386613">
        <w:rPr>
          <w:b/>
          <w:lang w:val="tr-TR"/>
        </w:rPr>
        <w:t>vb</w:t>
      </w:r>
      <w:proofErr w:type="spellEnd"/>
      <w:r w:rsidR="00B44F37" w:rsidRPr="00386613">
        <w:rPr>
          <w:b/>
          <w:lang w:val="tr-TR"/>
        </w:rPr>
        <w:t xml:space="preserve"> ile iliştirilerek) </w:t>
      </w:r>
      <w:proofErr w:type="gramStart"/>
      <w:r w:rsidR="00B44F37" w:rsidRPr="00386613">
        <w:rPr>
          <w:b/>
          <w:lang w:val="tr-TR"/>
        </w:rPr>
        <w:t>mo</w:t>
      </w:r>
      <w:r w:rsidRPr="00386613">
        <w:rPr>
          <w:b/>
          <w:lang w:val="tr-TR"/>
        </w:rPr>
        <w:t>düller</w:t>
      </w:r>
      <w:proofErr w:type="gramEnd"/>
      <w:r w:rsidRPr="00386613">
        <w:rPr>
          <w:b/>
          <w:lang w:val="tr-TR"/>
        </w:rPr>
        <w:t xml:space="preserve"> geliştirilebilir. B</w:t>
      </w:r>
      <w:r w:rsidR="00B44F37" w:rsidRPr="00386613">
        <w:rPr>
          <w:b/>
          <w:lang w:val="tr-TR"/>
        </w:rPr>
        <w:t xml:space="preserve">u mümkün müdür? </w:t>
      </w:r>
    </w:p>
    <w:p w:rsidR="00561C68" w:rsidRPr="00386613" w:rsidRDefault="00E23584" w:rsidP="0092410E">
      <w:pPr>
        <w:jc w:val="both"/>
        <w:rPr>
          <w:rFonts w:cstheme="minorHAnsi"/>
          <w:lang w:val="tr-TR"/>
        </w:rPr>
      </w:pPr>
      <w:r w:rsidRPr="00386613">
        <w:rPr>
          <w:rFonts w:cstheme="minorHAnsi"/>
          <w:lang w:val="tr-TR"/>
        </w:rPr>
        <w:t xml:space="preserve">AB Komisyonunun </w:t>
      </w:r>
      <w:r w:rsidR="00561C68" w:rsidRPr="00386613">
        <w:rPr>
          <w:rFonts w:cstheme="minorHAnsi"/>
          <w:lang w:val="tr-TR"/>
        </w:rPr>
        <w:t xml:space="preserve">Jean </w:t>
      </w:r>
      <w:proofErr w:type="spellStart"/>
      <w:r w:rsidR="00561C68" w:rsidRPr="00386613">
        <w:rPr>
          <w:rFonts w:cstheme="minorHAnsi"/>
          <w:lang w:val="tr-TR"/>
        </w:rPr>
        <w:t>Monnet</w:t>
      </w:r>
      <w:proofErr w:type="spellEnd"/>
      <w:r w:rsidR="00561C68" w:rsidRPr="00386613">
        <w:rPr>
          <w:rFonts w:cstheme="minorHAnsi"/>
          <w:lang w:val="tr-TR"/>
        </w:rPr>
        <w:t xml:space="preserve"> projelerinin konuları/alanları </w:t>
      </w:r>
      <w:r w:rsidRPr="00386613">
        <w:rPr>
          <w:rFonts w:cstheme="minorHAnsi"/>
          <w:lang w:val="tr-TR"/>
        </w:rPr>
        <w:t>hakkında bir kısıtlaması bulunmamaktadır.</w:t>
      </w:r>
      <w:r w:rsidR="00561C68" w:rsidRPr="00386613">
        <w:rPr>
          <w:rFonts w:cstheme="minorHAnsi"/>
          <w:lang w:val="tr-TR"/>
        </w:rPr>
        <w:t xml:space="preserve"> Belirttiğiniz gibi seçilen alan AB çalışmaları ile doğru şekilde ilişkilendirildiği takdirde, projenin desteklenmesi söz konusu olabilecektir. </w:t>
      </w:r>
    </w:p>
    <w:p w:rsidR="00E23584" w:rsidRPr="00386613" w:rsidRDefault="00E23584" w:rsidP="0092410E">
      <w:pPr>
        <w:jc w:val="both"/>
        <w:rPr>
          <w:b/>
          <w:lang w:val="tr-TR"/>
        </w:rPr>
      </w:pPr>
      <w:r w:rsidRPr="00386613">
        <w:rPr>
          <w:rFonts w:cstheme="minorHAnsi"/>
          <w:lang w:val="tr-TR"/>
        </w:rPr>
        <w:t xml:space="preserve">2020 program rehberinde </w:t>
      </w:r>
      <w:r w:rsidR="00561C68" w:rsidRPr="00386613">
        <w:rPr>
          <w:rFonts w:cstheme="minorHAnsi"/>
          <w:lang w:val="tr-TR"/>
        </w:rPr>
        <w:t>verilen</w:t>
      </w:r>
      <w:r w:rsidRPr="00386613">
        <w:rPr>
          <w:rFonts w:cstheme="minorHAnsi"/>
          <w:lang w:val="tr-TR"/>
        </w:rPr>
        <w:t xml:space="preserve"> değerlendirme </w:t>
      </w:r>
      <w:proofErr w:type="gramStart"/>
      <w:r w:rsidRPr="00386613">
        <w:rPr>
          <w:rFonts w:cstheme="minorHAnsi"/>
          <w:lang w:val="tr-TR"/>
        </w:rPr>
        <w:t>kriterleri</w:t>
      </w:r>
      <w:proofErr w:type="gramEnd"/>
      <w:r w:rsidRPr="00386613">
        <w:rPr>
          <w:rFonts w:cstheme="minorHAnsi"/>
          <w:lang w:val="tr-TR"/>
        </w:rPr>
        <w:t xml:space="preserve"> içerisinde bulunan “</w:t>
      </w:r>
      <w:proofErr w:type="spellStart"/>
      <w:r w:rsidRPr="00386613">
        <w:rPr>
          <w:rFonts w:cstheme="minorHAnsi"/>
          <w:bCs/>
          <w:lang w:val="tr-TR"/>
        </w:rPr>
        <w:t>Relevance</w:t>
      </w:r>
      <w:proofErr w:type="spellEnd"/>
      <w:r w:rsidRPr="00386613">
        <w:rPr>
          <w:rFonts w:cstheme="minorHAnsi"/>
          <w:bCs/>
          <w:lang w:val="tr-TR"/>
        </w:rPr>
        <w:t xml:space="preserve"> of </w:t>
      </w:r>
      <w:proofErr w:type="spellStart"/>
      <w:r w:rsidRPr="00386613">
        <w:rPr>
          <w:rFonts w:cstheme="minorHAnsi"/>
          <w:bCs/>
          <w:lang w:val="tr-TR"/>
        </w:rPr>
        <w:t>the</w:t>
      </w:r>
      <w:proofErr w:type="spellEnd"/>
      <w:r w:rsidRPr="00386613">
        <w:rPr>
          <w:rFonts w:cstheme="minorHAnsi"/>
          <w:bCs/>
          <w:lang w:val="tr-TR"/>
        </w:rPr>
        <w:t xml:space="preserve"> </w:t>
      </w:r>
      <w:proofErr w:type="spellStart"/>
      <w:r w:rsidRPr="00386613">
        <w:rPr>
          <w:rFonts w:cstheme="minorHAnsi"/>
          <w:bCs/>
          <w:lang w:val="tr-TR"/>
        </w:rPr>
        <w:t>project</w:t>
      </w:r>
      <w:proofErr w:type="spellEnd"/>
      <w:r w:rsidR="00561C68" w:rsidRPr="00386613">
        <w:rPr>
          <w:rFonts w:cstheme="minorHAnsi"/>
          <w:bCs/>
          <w:lang w:val="tr-TR"/>
        </w:rPr>
        <w:t>” başlığı altında yer alan konu il</w:t>
      </w:r>
      <w:r w:rsidRPr="00386613">
        <w:rPr>
          <w:rFonts w:cstheme="minorHAnsi"/>
          <w:bCs/>
          <w:lang w:val="tr-TR"/>
        </w:rPr>
        <w:t>e</w:t>
      </w:r>
      <w:r w:rsidR="00561C68" w:rsidRPr="00386613">
        <w:rPr>
          <w:rFonts w:cstheme="minorHAnsi"/>
          <w:bCs/>
          <w:lang w:val="tr-TR"/>
        </w:rPr>
        <w:t xml:space="preserve"> </w:t>
      </w:r>
      <w:r w:rsidRPr="00386613">
        <w:rPr>
          <w:rFonts w:cstheme="minorHAnsi"/>
          <w:bCs/>
          <w:lang w:val="tr-TR"/>
        </w:rPr>
        <w:t xml:space="preserve">ilgili </w:t>
      </w:r>
      <w:r w:rsidR="00561C68" w:rsidRPr="00386613">
        <w:rPr>
          <w:rFonts w:cstheme="minorHAnsi"/>
          <w:bCs/>
          <w:lang w:val="tr-TR"/>
        </w:rPr>
        <w:t xml:space="preserve">bölüm </w:t>
      </w:r>
      <w:r w:rsidRPr="00386613">
        <w:rPr>
          <w:rFonts w:cstheme="minorHAnsi"/>
          <w:bCs/>
          <w:lang w:val="tr-TR"/>
        </w:rPr>
        <w:t xml:space="preserve">aşağıya kopyalanmıştır.  </w:t>
      </w:r>
      <w:r w:rsidR="00561C68" w:rsidRPr="00386613">
        <w:rPr>
          <w:rFonts w:cstheme="minorHAnsi"/>
          <w:bCs/>
          <w:lang w:val="tr-TR"/>
        </w:rPr>
        <w:t xml:space="preserve">Burada bahsedilen kapsamda bir proje </w:t>
      </w:r>
      <w:r w:rsidR="00E96628" w:rsidRPr="00386613">
        <w:rPr>
          <w:rFonts w:cstheme="minorHAnsi"/>
          <w:bCs/>
          <w:lang w:val="tr-TR"/>
        </w:rPr>
        <w:t xml:space="preserve">değerlendirme sırasında konudan/alandan yana sorun yaşamayacaktır. </w:t>
      </w:r>
    </w:p>
    <w:p w:rsidR="00E23584" w:rsidRPr="00386613" w:rsidRDefault="00E23584" w:rsidP="0092410E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  <w:lang w:val="tr-TR"/>
        </w:rPr>
      </w:pP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The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extent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the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proposal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fits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within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the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</w:t>
      </w:r>
      <w:proofErr w:type="spellStart"/>
      <w:r w:rsidRPr="00386613">
        <w:rPr>
          <w:rFonts w:asciiTheme="minorHAnsi" w:hAnsiTheme="minorHAnsi" w:cstheme="minorHAnsi"/>
          <w:bCs/>
          <w:i/>
          <w:sz w:val="22"/>
          <w:szCs w:val="22"/>
          <w:lang w:val="tr-TR"/>
        </w:rPr>
        <w:t>scope</w:t>
      </w:r>
      <w:proofErr w:type="spellEnd"/>
      <w:r w:rsidRPr="00386613">
        <w:rPr>
          <w:rFonts w:asciiTheme="minorHAnsi" w:hAnsiTheme="minorHAnsi" w:cstheme="minorHAnsi"/>
          <w:bCs/>
          <w:i/>
          <w:sz w:val="22"/>
          <w:szCs w:val="22"/>
          <w:lang w:val="tr-TR"/>
        </w:rPr>
        <w:t xml:space="preserve"> </w:t>
      </w:r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of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European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Union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studies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: </w:t>
      </w:r>
    </w:p>
    <w:p w:rsidR="00E23584" w:rsidRPr="00386613" w:rsidRDefault="00E23584" w:rsidP="0092410E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  <w:lang w:val="tr-TR"/>
        </w:rPr>
      </w:pPr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-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comprising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the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study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of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the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European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Union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in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its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entirety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,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with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particular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emphasis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on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the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EU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integration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process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in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both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its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in-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ternal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and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external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aspects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; </w:t>
      </w:r>
    </w:p>
    <w:p w:rsidR="00E23584" w:rsidRPr="00386613" w:rsidRDefault="00E23584" w:rsidP="0092410E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  <w:lang w:val="tr-TR"/>
        </w:rPr>
      </w:pPr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- link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to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the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EU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acquis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(</w:t>
      </w:r>
      <w:proofErr w:type="spellStart"/>
      <w:r w:rsidRPr="00386613">
        <w:rPr>
          <w:rFonts w:asciiTheme="minorHAnsi" w:hAnsiTheme="minorHAnsi" w:cstheme="minorHAnsi"/>
          <w:i/>
          <w:iCs/>
          <w:sz w:val="22"/>
          <w:szCs w:val="22"/>
          <w:lang w:val="tr-TR"/>
        </w:rPr>
        <w:t>acquis</w:t>
      </w:r>
      <w:proofErr w:type="spellEnd"/>
      <w:r w:rsidRPr="00386613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386613">
        <w:rPr>
          <w:rFonts w:asciiTheme="minorHAnsi" w:hAnsiTheme="minorHAnsi" w:cstheme="minorHAnsi"/>
          <w:i/>
          <w:iCs/>
          <w:sz w:val="22"/>
          <w:szCs w:val="22"/>
          <w:lang w:val="tr-TR"/>
        </w:rPr>
        <w:t>communautaire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)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and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existing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EU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po-</w:t>
      </w:r>
      <w:proofErr w:type="gram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licies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;</w:t>
      </w:r>
      <w:proofErr w:type="gram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</w:t>
      </w:r>
    </w:p>
    <w:p w:rsidR="00E23584" w:rsidRPr="00386613" w:rsidRDefault="00E23584" w:rsidP="0092410E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  <w:lang w:val="tr-TR"/>
        </w:rPr>
      </w:pPr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-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promoting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active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EU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citizenship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and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values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; </w:t>
      </w:r>
    </w:p>
    <w:p w:rsidR="00E23584" w:rsidRPr="00386613" w:rsidRDefault="00E23584" w:rsidP="0092410E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  <w:lang w:val="tr-TR"/>
        </w:rPr>
      </w:pPr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-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enhancing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awareness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of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the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EU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and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facilitating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future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engage-ment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and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people-to-people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dialogue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; </w:t>
      </w:r>
    </w:p>
    <w:p w:rsidR="00E23584" w:rsidRPr="00386613" w:rsidRDefault="00E23584" w:rsidP="0092410E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:rsidR="00E23584" w:rsidRPr="00386613" w:rsidRDefault="00E23584" w:rsidP="0092410E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386613">
        <w:rPr>
          <w:rFonts w:asciiTheme="minorHAnsi" w:hAnsiTheme="minorHAnsi" w:cstheme="minorHAnsi"/>
          <w:sz w:val="22"/>
          <w:szCs w:val="22"/>
          <w:lang w:val="tr-TR"/>
        </w:rPr>
        <w:t xml:space="preserve">Yine, 2020 program rehberinde </w:t>
      </w:r>
      <w:r w:rsidR="00E96628" w:rsidRPr="00386613">
        <w:rPr>
          <w:rFonts w:asciiTheme="minorHAnsi" w:hAnsiTheme="minorHAnsi" w:cstheme="minorHAnsi"/>
          <w:sz w:val="22"/>
          <w:szCs w:val="22"/>
          <w:lang w:val="tr-TR"/>
        </w:rPr>
        <w:t xml:space="preserve">verilen </w:t>
      </w:r>
      <w:r w:rsidRPr="00386613">
        <w:rPr>
          <w:rFonts w:asciiTheme="minorHAnsi" w:hAnsiTheme="minorHAnsi" w:cstheme="minorHAnsi"/>
          <w:sz w:val="22"/>
          <w:szCs w:val="22"/>
          <w:lang w:val="tr-TR"/>
        </w:rPr>
        <w:t xml:space="preserve">değerlendirme </w:t>
      </w:r>
      <w:proofErr w:type="gramStart"/>
      <w:r w:rsidRPr="00386613">
        <w:rPr>
          <w:rFonts w:asciiTheme="minorHAnsi" w:hAnsiTheme="minorHAnsi" w:cstheme="minorHAnsi"/>
          <w:sz w:val="22"/>
          <w:szCs w:val="22"/>
          <w:lang w:val="tr-TR"/>
        </w:rPr>
        <w:t>kriterleri</w:t>
      </w:r>
      <w:proofErr w:type="gramEnd"/>
      <w:r w:rsidRPr="00386613">
        <w:rPr>
          <w:rFonts w:asciiTheme="minorHAnsi" w:hAnsiTheme="minorHAnsi" w:cstheme="minorHAnsi"/>
          <w:sz w:val="22"/>
          <w:szCs w:val="22"/>
          <w:lang w:val="tr-TR"/>
        </w:rPr>
        <w:t xml:space="preserve"> içerisinde </w:t>
      </w:r>
      <w:r w:rsidR="00E96628" w:rsidRPr="00386613">
        <w:rPr>
          <w:rFonts w:asciiTheme="minorHAnsi" w:hAnsiTheme="minorHAnsi" w:cstheme="minorHAnsi"/>
          <w:sz w:val="22"/>
          <w:szCs w:val="22"/>
          <w:lang w:val="tr-TR"/>
        </w:rPr>
        <w:t>bulunan “</w:t>
      </w:r>
      <w:proofErr w:type="spellStart"/>
      <w:r w:rsidRPr="00386613">
        <w:rPr>
          <w:rFonts w:asciiTheme="minorHAnsi" w:hAnsiTheme="minorHAnsi" w:cstheme="minorHAnsi"/>
          <w:bCs/>
          <w:sz w:val="22"/>
          <w:szCs w:val="22"/>
          <w:lang w:val="tr-TR"/>
        </w:rPr>
        <w:t>Quality</w:t>
      </w:r>
      <w:proofErr w:type="spellEnd"/>
      <w:r w:rsidRPr="00386613">
        <w:rPr>
          <w:rFonts w:asciiTheme="minorHAnsi" w:hAnsiTheme="minorHAnsi" w:cstheme="minorHAnsi"/>
          <w:bCs/>
          <w:sz w:val="22"/>
          <w:szCs w:val="22"/>
          <w:lang w:val="tr-TR"/>
        </w:rPr>
        <w:t xml:space="preserve"> of </w:t>
      </w:r>
      <w:proofErr w:type="spellStart"/>
      <w:r w:rsidRPr="00386613">
        <w:rPr>
          <w:rFonts w:asciiTheme="minorHAnsi" w:hAnsiTheme="minorHAnsi" w:cstheme="minorHAnsi"/>
          <w:bCs/>
          <w:sz w:val="22"/>
          <w:szCs w:val="22"/>
          <w:lang w:val="tr-TR"/>
        </w:rPr>
        <w:t>the</w:t>
      </w:r>
      <w:proofErr w:type="spellEnd"/>
      <w:r w:rsidRPr="00386613">
        <w:rPr>
          <w:rFonts w:asciiTheme="minorHAnsi" w:hAnsiTheme="minorHAnsi" w:cstheme="minorHAnsi"/>
          <w:bCs/>
          <w:sz w:val="22"/>
          <w:szCs w:val="22"/>
          <w:lang w:val="tr-TR"/>
        </w:rPr>
        <w:t xml:space="preserve"> </w:t>
      </w:r>
      <w:proofErr w:type="spellStart"/>
      <w:r w:rsidRPr="00386613">
        <w:rPr>
          <w:rFonts w:asciiTheme="minorHAnsi" w:hAnsiTheme="minorHAnsi" w:cstheme="minorHAnsi"/>
          <w:bCs/>
          <w:sz w:val="22"/>
          <w:szCs w:val="22"/>
          <w:lang w:val="tr-TR"/>
        </w:rPr>
        <w:t>project</w:t>
      </w:r>
      <w:proofErr w:type="spellEnd"/>
      <w:r w:rsidRPr="00386613">
        <w:rPr>
          <w:rFonts w:asciiTheme="minorHAnsi" w:hAnsiTheme="minorHAnsi" w:cstheme="minorHAnsi"/>
          <w:bCs/>
          <w:sz w:val="22"/>
          <w:szCs w:val="22"/>
          <w:lang w:val="tr-TR"/>
        </w:rPr>
        <w:t xml:space="preserve"> </w:t>
      </w:r>
      <w:proofErr w:type="spellStart"/>
      <w:r w:rsidRPr="00386613">
        <w:rPr>
          <w:rFonts w:asciiTheme="minorHAnsi" w:hAnsiTheme="minorHAnsi" w:cstheme="minorHAnsi"/>
          <w:bCs/>
          <w:sz w:val="22"/>
          <w:szCs w:val="22"/>
          <w:lang w:val="tr-TR"/>
        </w:rPr>
        <w:t>team</w:t>
      </w:r>
      <w:proofErr w:type="spellEnd"/>
      <w:r w:rsidR="00E96628" w:rsidRPr="00386613">
        <w:rPr>
          <w:rFonts w:asciiTheme="minorHAnsi" w:hAnsiTheme="minorHAnsi" w:cstheme="minorHAnsi"/>
          <w:bCs/>
          <w:sz w:val="22"/>
          <w:szCs w:val="22"/>
          <w:lang w:val="tr-TR"/>
        </w:rPr>
        <w:t>”</w:t>
      </w:r>
      <w:r w:rsidRPr="00386613">
        <w:rPr>
          <w:rFonts w:asciiTheme="minorHAnsi" w:hAnsiTheme="minorHAnsi" w:cstheme="minorHAnsi"/>
          <w:bCs/>
          <w:sz w:val="22"/>
          <w:szCs w:val="22"/>
          <w:lang w:val="tr-TR"/>
        </w:rPr>
        <w:t xml:space="preserve"> </w:t>
      </w:r>
      <w:r w:rsidRPr="00386613">
        <w:rPr>
          <w:rFonts w:asciiTheme="minorHAnsi" w:hAnsiTheme="minorHAnsi" w:cstheme="minorHAnsi"/>
          <w:sz w:val="22"/>
          <w:szCs w:val="22"/>
          <w:lang w:val="tr-TR"/>
        </w:rPr>
        <w:t>başlığı altında y</w:t>
      </w:r>
      <w:r w:rsidR="00E96628" w:rsidRPr="00386613">
        <w:rPr>
          <w:rFonts w:asciiTheme="minorHAnsi" w:hAnsiTheme="minorHAnsi" w:cstheme="minorHAnsi"/>
          <w:sz w:val="22"/>
          <w:szCs w:val="22"/>
          <w:lang w:val="tr-TR"/>
        </w:rPr>
        <w:t>e</w:t>
      </w:r>
      <w:r w:rsidRPr="00386613">
        <w:rPr>
          <w:rFonts w:asciiTheme="minorHAnsi" w:hAnsiTheme="minorHAnsi" w:cstheme="minorHAnsi"/>
          <w:sz w:val="22"/>
          <w:szCs w:val="22"/>
          <w:lang w:val="tr-TR"/>
        </w:rPr>
        <w:t>r</w:t>
      </w:r>
      <w:r w:rsidR="00E96628" w:rsidRPr="00386613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Pr="00386613">
        <w:rPr>
          <w:rFonts w:asciiTheme="minorHAnsi" w:hAnsiTheme="minorHAnsi" w:cstheme="minorHAnsi"/>
          <w:sz w:val="22"/>
          <w:szCs w:val="22"/>
          <w:lang w:val="tr-TR"/>
        </w:rPr>
        <w:t>alan aşağıdaki husus bu konuda yol gösterici olacaktır.</w:t>
      </w:r>
    </w:p>
    <w:p w:rsidR="00E23584" w:rsidRPr="00386613" w:rsidRDefault="00E23584" w:rsidP="0092410E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:rsidR="00E23584" w:rsidRPr="00386613" w:rsidRDefault="00E23584" w:rsidP="0092410E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  <w:lang w:val="tr-TR"/>
        </w:rPr>
      </w:pP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The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pertinence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and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complementarity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of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the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</w:t>
      </w:r>
      <w:proofErr w:type="gram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profile</w:t>
      </w:r>
      <w:proofErr w:type="gram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and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expertise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of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the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key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staff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involved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in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the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activities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proposed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in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the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project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(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both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in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the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academic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and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non-academic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fields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,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if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 </w:t>
      </w:r>
      <w:proofErr w:type="spellStart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>appropriate</w:t>
      </w:r>
      <w:proofErr w:type="spellEnd"/>
      <w:r w:rsidRPr="00386613">
        <w:rPr>
          <w:rFonts w:asciiTheme="minorHAnsi" w:hAnsiTheme="minorHAnsi" w:cstheme="minorHAnsi"/>
          <w:i/>
          <w:sz w:val="22"/>
          <w:szCs w:val="22"/>
          <w:lang w:val="tr-TR"/>
        </w:rPr>
        <w:t xml:space="preserve">). </w:t>
      </w:r>
    </w:p>
    <w:p w:rsidR="00E23584" w:rsidRPr="00386613" w:rsidRDefault="00E23584" w:rsidP="0092410E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:rsidR="00E96628" w:rsidRPr="00386613" w:rsidRDefault="00E96628" w:rsidP="00C3050B">
      <w:pPr>
        <w:jc w:val="both"/>
        <w:rPr>
          <w:rFonts w:cstheme="minorHAnsi"/>
          <w:lang w:val="tr-TR"/>
        </w:rPr>
      </w:pPr>
      <w:r w:rsidRPr="00386613">
        <w:rPr>
          <w:rFonts w:cstheme="minorHAnsi"/>
          <w:lang w:val="tr-TR"/>
        </w:rPr>
        <w:t xml:space="preserve">Son olarak, </w:t>
      </w:r>
      <w:hyperlink r:id="rId6" w:history="1">
        <w:r w:rsidR="00C3050B" w:rsidRPr="00386613">
          <w:rPr>
            <w:rStyle w:val="Hyperlink"/>
            <w:rFonts w:cstheme="minorHAnsi"/>
            <w:lang w:val="tr-TR"/>
          </w:rPr>
          <w:t>https://eacea.ec.europa.eu/erasmus-plus/actions/jean-monnet/directory-search._en</w:t>
        </w:r>
      </w:hyperlink>
      <w:r w:rsidRPr="00386613">
        <w:rPr>
          <w:rFonts w:cstheme="minorHAnsi"/>
          <w:lang w:val="tr-TR"/>
        </w:rPr>
        <w:t xml:space="preserve"> linkinde “disiplin” kutusunda “</w:t>
      </w:r>
      <w:proofErr w:type="spellStart"/>
      <w:r w:rsidRPr="00386613">
        <w:rPr>
          <w:rFonts w:cstheme="minorHAnsi"/>
          <w:lang w:val="tr-TR"/>
        </w:rPr>
        <w:t>other</w:t>
      </w:r>
      <w:proofErr w:type="spellEnd"/>
      <w:r w:rsidRPr="00386613">
        <w:rPr>
          <w:rFonts w:cstheme="minorHAnsi"/>
          <w:lang w:val="tr-TR"/>
        </w:rPr>
        <w:t>” seçeneği seçilerek tarama yapıldığında karşımıza çıkan projeler uluslararası ilişkiler alanı dışında da proje yapıla</w:t>
      </w:r>
      <w:r w:rsidR="00C3050B" w:rsidRPr="00386613">
        <w:rPr>
          <w:rFonts w:cstheme="minorHAnsi"/>
          <w:lang w:val="tr-TR"/>
        </w:rPr>
        <w:t>bildiği konusunda fikir vermektedir.</w:t>
      </w:r>
    </w:p>
    <w:p w:rsidR="00E23584" w:rsidRPr="00386613" w:rsidRDefault="00E23584" w:rsidP="0092410E">
      <w:pPr>
        <w:pStyle w:val="ListParagraph"/>
        <w:jc w:val="both"/>
        <w:rPr>
          <w:rFonts w:cstheme="minorHAnsi"/>
          <w:lang w:val="tr-TR"/>
        </w:rPr>
      </w:pPr>
    </w:p>
    <w:p w:rsidR="0092410E" w:rsidRPr="00386613" w:rsidRDefault="0092410E" w:rsidP="0092410E">
      <w:pPr>
        <w:pStyle w:val="ListParagraph"/>
        <w:jc w:val="both"/>
        <w:rPr>
          <w:b/>
          <w:lang w:val="tr-TR"/>
        </w:rPr>
      </w:pPr>
    </w:p>
    <w:p w:rsidR="00B44F37" w:rsidRPr="00386613" w:rsidRDefault="0092410E" w:rsidP="0092410E">
      <w:pPr>
        <w:pStyle w:val="ListParagraph"/>
        <w:numPr>
          <w:ilvl w:val="0"/>
          <w:numId w:val="1"/>
        </w:numPr>
        <w:jc w:val="both"/>
        <w:rPr>
          <w:b/>
          <w:lang w:val="tr-TR"/>
        </w:rPr>
      </w:pPr>
      <w:r w:rsidRPr="00386613">
        <w:rPr>
          <w:b/>
          <w:lang w:val="tr-TR"/>
        </w:rPr>
        <w:t>B</w:t>
      </w:r>
      <w:r w:rsidR="00B44F37" w:rsidRPr="00386613">
        <w:rPr>
          <w:b/>
          <w:lang w:val="tr-TR"/>
        </w:rPr>
        <w:t xml:space="preserve">u </w:t>
      </w:r>
      <w:proofErr w:type="spellStart"/>
      <w:r w:rsidR="00B44F37" w:rsidRPr="00386613">
        <w:rPr>
          <w:b/>
          <w:lang w:val="tr-TR"/>
        </w:rPr>
        <w:t>webinarda</w:t>
      </w:r>
      <w:proofErr w:type="spellEnd"/>
      <w:r w:rsidR="00B44F37" w:rsidRPr="00386613">
        <w:rPr>
          <w:b/>
          <w:lang w:val="tr-TR"/>
        </w:rPr>
        <w:t xml:space="preserve"> anlatılanlarla </w:t>
      </w:r>
      <w:proofErr w:type="spellStart"/>
      <w:r w:rsidR="00B44F37" w:rsidRPr="00386613">
        <w:rPr>
          <w:b/>
          <w:lang w:val="tr-TR"/>
        </w:rPr>
        <w:t>JeanMonnet</w:t>
      </w:r>
      <w:proofErr w:type="spellEnd"/>
      <w:r w:rsidR="00B44F37" w:rsidRPr="00386613">
        <w:rPr>
          <w:b/>
          <w:lang w:val="tr-TR"/>
        </w:rPr>
        <w:t xml:space="preserve"> </w:t>
      </w:r>
      <w:proofErr w:type="spellStart"/>
      <w:r w:rsidR="00B44F37" w:rsidRPr="00386613">
        <w:rPr>
          <w:b/>
          <w:lang w:val="tr-TR"/>
        </w:rPr>
        <w:t>scholarship</w:t>
      </w:r>
      <w:proofErr w:type="spellEnd"/>
      <w:r w:rsidR="00B44F37" w:rsidRPr="00386613">
        <w:rPr>
          <w:b/>
          <w:lang w:val="tr-TR"/>
        </w:rPr>
        <w:t xml:space="preserve"> arasındaki bağ</w:t>
      </w:r>
      <w:r w:rsidRPr="00386613">
        <w:rPr>
          <w:b/>
          <w:lang w:val="tr-TR"/>
        </w:rPr>
        <w:t xml:space="preserve">lantı nedir? </w:t>
      </w:r>
    </w:p>
    <w:p w:rsidR="0092410E" w:rsidRPr="00386613" w:rsidRDefault="0092410E" w:rsidP="0092410E">
      <w:pPr>
        <w:ind w:left="360"/>
        <w:jc w:val="both"/>
        <w:rPr>
          <w:lang w:val="tr-TR"/>
        </w:rPr>
      </w:pPr>
      <w:r w:rsidRPr="00386613">
        <w:rPr>
          <w:lang w:val="tr-TR"/>
        </w:rPr>
        <w:t xml:space="preserve">Jean </w:t>
      </w:r>
      <w:proofErr w:type="spellStart"/>
      <w:r w:rsidRPr="00386613">
        <w:rPr>
          <w:lang w:val="tr-TR"/>
        </w:rPr>
        <w:t>Monnet</w:t>
      </w:r>
      <w:proofErr w:type="spellEnd"/>
      <w:r w:rsidRPr="00386613">
        <w:rPr>
          <w:lang w:val="tr-TR"/>
        </w:rPr>
        <w:t xml:space="preserve"> Burs programı </w:t>
      </w:r>
      <w:proofErr w:type="spellStart"/>
      <w:r w:rsidRPr="00386613">
        <w:rPr>
          <w:lang w:val="tr-TR"/>
        </w:rPr>
        <w:t>webinarda</w:t>
      </w:r>
      <w:proofErr w:type="spellEnd"/>
      <w:r w:rsidRPr="00386613">
        <w:rPr>
          <w:lang w:val="tr-TR"/>
        </w:rPr>
        <w:t xml:space="preserve"> anlatılan Jean </w:t>
      </w:r>
      <w:proofErr w:type="spellStart"/>
      <w:r w:rsidR="00C3050B" w:rsidRPr="00386613">
        <w:rPr>
          <w:lang w:val="tr-TR"/>
        </w:rPr>
        <w:t>M</w:t>
      </w:r>
      <w:r w:rsidRPr="00386613">
        <w:rPr>
          <w:lang w:val="tr-TR"/>
        </w:rPr>
        <w:t>onnet</w:t>
      </w:r>
      <w:proofErr w:type="spellEnd"/>
      <w:r w:rsidRPr="00386613">
        <w:rPr>
          <w:lang w:val="tr-TR"/>
        </w:rPr>
        <w:t xml:space="preserve"> faaliyetlerinden farklıdır.  Jean </w:t>
      </w:r>
      <w:proofErr w:type="spellStart"/>
      <w:r w:rsidR="00C3050B" w:rsidRPr="00386613">
        <w:rPr>
          <w:lang w:val="tr-TR"/>
        </w:rPr>
        <w:t>Monnet</w:t>
      </w:r>
      <w:proofErr w:type="spellEnd"/>
      <w:r w:rsidR="00C3050B" w:rsidRPr="00386613">
        <w:rPr>
          <w:lang w:val="tr-TR"/>
        </w:rPr>
        <w:t xml:space="preserve"> Burs Programı il</w:t>
      </w:r>
      <w:r w:rsidRPr="00386613">
        <w:rPr>
          <w:lang w:val="tr-TR"/>
        </w:rPr>
        <w:t>e</w:t>
      </w:r>
      <w:r w:rsidR="00C3050B" w:rsidRPr="00386613">
        <w:rPr>
          <w:lang w:val="tr-TR"/>
        </w:rPr>
        <w:t xml:space="preserve"> </w:t>
      </w:r>
      <w:r w:rsidRPr="00386613">
        <w:rPr>
          <w:lang w:val="tr-TR"/>
        </w:rPr>
        <w:t xml:space="preserve">ilgili olarak </w:t>
      </w:r>
      <w:hyperlink r:id="rId7" w:history="1">
        <w:r w:rsidRPr="00386613">
          <w:rPr>
            <w:rStyle w:val="Hyperlink"/>
            <w:lang w:val="tr-TR"/>
          </w:rPr>
          <w:t>https://www.jeanmonnet.org.tr/tr-tr/</w:t>
        </w:r>
      </w:hyperlink>
      <w:r w:rsidRPr="00386613">
        <w:rPr>
          <w:lang w:val="tr-TR"/>
        </w:rPr>
        <w:t xml:space="preserve"> adresinden detaylı bilgi alınabilir.</w:t>
      </w:r>
    </w:p>
    <w:p w:rsidR="00B44F37" w:rsidRPr="00386613" w:rsidRDefault="00B44F37" w:rsidP="0092410E">
      <w:pPr>
        <w:jc w:val="both"/>
        <w:rPr>
          <w:b/>
          <w:lang w:val="tr-TR"/>
        </w:rPr>
      </w:pPr>
      <w:bookmarkStart w:id="0" w:name="_GoBack"/>
      <w:bookmarkEnd w:id="0"/>
    </w:p>
    <w:sectPr w:rsidR="00B44F37" w:rsidRPr="00386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F5D30"/>
    <w:multiLevelType w:val="hybridMultilevel"/>
    <w:tmpl w:val="D84C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C3"/>
    <w:rsid w:val="002A31FE"/>
    <w:rsid w:val="00386613"/>
    <w:rsid w:val="003E6806"/>
    <w:rsid w:val="0043716B"/>
    <w:rsid w:val="004C2C54"/>
    <w:rsid w:val="00561C68"/>
    <w:rsid w:val="005D532D"/>
    <w:rsid w:val="0092410E"/>
    <w:rsid w:val="00B44F37"/>
    <w:rsid w:val="00BB4B3F"/>
    <w:rsid w:val="00BD52C3"/>
    <w:rsid w:val="00C3050B"/>
    <w:rsid w:val="00E23584"/>
    <w:rsid w:val="00E96628"/>
    <w:rsid w:val="00FB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DA30B-DFBA-43AF-A4CB-367370B1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32D"/>
    <w:rPr>
      <w:color w:val="0563C1" w:themeColor="hyperlink"/>
      <w:u w:val="single"/>
    </w:rPr>
  </w:style>
  <w:style w:type="paragraph" w:customStyle="1" w:styleId="Default">
    <w:name w:val="Default"/>
    <w:rsid w:val="00E235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eanmonnet.org.tr/tr-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acea.ec.europa.eu/erasmus-plus/actions/jean-monnet/directory-search._en" TargetMode="External"/><Relationship Id="rId5" Type="http://schemas.openxmlformats.org/officeDocument/2006/relationships/hyperlink" Target="https://www.ab.gov.tr/6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 Tokgöz</dc:creator>
  <cp:keywords/>
  <dc:description/>
  <cp:lastModifiedBy>Selen Tokgöz</cp:lastModifiedBy>
  <cp:revision>11</cp:revision>
  <dcterms:created xsi:type="dcterms:W3CDTF">2021-03-12T08:26:00Z</dcterms:created>
  <dcterms:modified xsi:type="dcterms:W3CDTF">2021-03-15T06:16:00Z</dcterms:modified>
</cp:coreProperties>
</file>