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F9" w:rsidRPr="0001731D" w:rsidRDefault="004346F9" w:rsidP="004346F9">
      <w:pPr>
        <w:rPr>
          <w:b/>
          <w:sz w:val="22"/>
          <w:szCs w:val="22"/>
        </w:rPr>
      </w:pPr>
    </w:p>
    <w:p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rsidR="00FB5A33" w:rsidRPr="0001731D" w:rsidRDefault="00FB5A33" w:rsidP="004346F9">
      <w:pPr>
        <w:jc w:val="both"/>
        <w:rPr>
          <w:sz w:val="22"/>
          <w:szCs w:val="22"/>
        </w:rPr>
      </w:pPr>
    </w:p>
    <w:p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rsidR="004346F9" w:rsidRPr="0001731D" w:rsidRDefault="004346F9" w:rsidP="004346F9">
      <w:pPr>
        <w:jc w:val="both"/>
        <w:rPr>
          <w:sz w:val="22"/>
          <w:szCs w:val="22"/>
        </w:rPr>
      </w:pPr>
    </w:p>
    <w:p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FB5A33" w:rsidRPr="0001731D" w:rsidRDefault="00FB5A33" w:rsidP="004346F9">
      <w:pPr>
        <w:jc w:val="both"/>
        <w:rPr>
          <w:sz w:val="22"/>
          <w:szCs w:val="22"/>
        </w:rPr>
      </w:pPr>
    </w:p>
    <w:p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346F9" w:rsidRPr="0001731D" w:rsidRDefault="004346F9" w:rsidP="004346F9">
      <w:pPr>
        <w:autoSpaceDE w:val="0"/>
        <w:autoSpaceDN w:val="0"/>
        <w:adjustRightInd w:val="0"/>
        <w:jc w:val="both"/>
        <w:rPr>
          <w:color w:val="000000"/>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 xml:space="preserve">Avrupa Birliği kurumları ve AB ajansları (bkz. </w:t>
      </w:r>
      <w:proofErr w:type="gramStart"/>
      <w:r w:rsidRPr="0001731D">
        <w:rPr>
          <w:color w:val="000000"/>
          <w:sz w:val="22"/>
          <w:szCs w:val="22"/>
        </w:rPr>
        <w:t>ec.europa</w:t>
      </w:r>
      <w:proofErr w:type="gramEnd"/>
      <w:r w:rsidRPr="0001731D">
        <w:rPr>
          <w:color w:val="000000"/>
          <w:sz w:val="22"/>
          <w:szCs w:val="22"/>
        </w:rPr>
        <w:t>.eu/</w:t>
      </w:r>
      <w:proofErr w:type="spellStart"/>
      <w:r w:rsidRPr="0001731D">
        <w:rPr>
          <w:color w:val="000000"/>
          <w:sz w:val="22"/>
          <w:szCs w:val="22"/>
        </w:rPr>
        <w:t>institutions</w:t>
      </w:r>
      <w:proofErr w:type="spellEnd"/>
      <w:r w:rsidRPr="0001731D">
        <w:rPr>
          <w:color w:val="000000"/>
          <w:sz w:val="22"/>
          <w:szCs w:val="22"/>
        </w:rPr>
        <w:t xml:space="preserve">/index_en.htm) </w:t>
      </w:r>
    </w:p>
    <w:p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rsidR="004346F9" w:rsidRPr="0001731D" w:rsidRDefault="004346F9" w:rsidP="004346F9">
      <w:pPr>
        <w:pStyle w:val="ListeParagraf"/>
        <w:ind w:left="1353"/>
        <w:jc w:val="both"/>
        <w:rPr>
          <w:sz w:val="22"/>
          <w:szCs w:val="22"/>
        </w:rPr>
      </w:pPr>
    </w:p>
    <w:p w:rsidR="004346F9" w:rsidRPr="0001731D" w:rsidRDefault="004346F9" w:rsidP="004346F9">
      <w:pPr>
        <w:jc w:val="both"/>
        <w:rPr>
          <w:sz w:val="22"/>
          <w:szCs w:val="22"/>
        </w:rPr>
      </w:pPr>
    </w:p>
    <w:p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rsidR="004346F9" w:rsidRPr="0001731D" w:rsidRDefault="004346F9" w:rsidP="004346F9">
      <w:pPr>
        <w:ind w:firstLine="708"/>
        <w:jc w:val="both"/>
        <w:rPr>
          <w:b/>
          <w:sz w:val="22"/>
          <w:szCs w:val="22"/>
        </w:rPr>
      </w:pPr>
    </w:p>
    <w:p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01731D">
        <w:rPr>
          <w:b/>
          <w:sz w:val="22"/>
          <w:szCs w:val="22"/>
        </w:rPr>
        <w:t xml:space="preserve">. 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rsidR="004346F9" w:rsidRPr="0001731D" w:rsidRDefault="004346F9" w:rsidP="004346F9">
      <w:pPr>
        <w:jc w:val="both"/>
        <w:rPr>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rsidR="00B315E6" w:rsidRPr="0001731D" w:rsidRDefault="00B315E6" w:rsidP="00EE0070">
      <w:pPr>
        <w:jc w:val="both"/>
        <w:rPr>
          <w:sz w:val="22"/>
          <w:szCs w:val="22"/>
        </w:rPr>
      </w:pPr>
    </w:p>
    <w:p w:rsidR="0001731D" w:rsidRDefault="0001731D" w:rsidP="004346F9">
      <w:pPr>
        <w:jc w:val="both"/>
        <w:rPr>
          <w:b/>
          <w:sz w:val="22"/>
          <w:szCs w:val="22"/>
        </w:rPr>
      </w:pPr>
    </w:p>
    <w:p w:rsidR="00807330" w:rsidRDefault="00807330" w:rsidP="004346F9">
      <w:pPr>
        <w:jc w:val="both"/>
        <w:rPr>
          <w:b/>
          <w:sz w:val="22"/>
          <w:szCs w:val="22"/>
        </w:rPr>
      </w:pPr>
    </w:p>
    <w:p w:rsidR="00807330" w:rsidRDefault="00807330" w:rsidP="004346F9">
      <w:pPr>
        <w:jc w:val="both"/>
        <w:rPr>
          <w:b/>
          <w:sz w:val="22"/>
          <w:szCs w:val="22"/>
        </w:rPr>
      </w:pPr>
    </w:p>
    <w:p w:rsidR="0001731D" w:rsidRDefault="0001731D" w:rsidP="004346F9">
      <w:pPr>
        <w:jc w:val="both"/>
        <w:rPr>
          <w:b/>
          <w:sz w:val="22"/>
          <w:szCs w:val="22"/>
        </w:rPr>
      </w:pPr>
    </w:p>
    <w:p w:rsidR="00703B92" w:rsidRPr="00A5493B" w:rsidRDefault="00B315E6" w:rsidP="00A5493B">
      <w:pPr>
        <w:pStyle w:val="ListeParagraf"/>
        <w:numPr>
          <w:ilvl w:val="0"/>
          <w:numId w:val="11"/>
        </w:numPr>
        <w:jc w:val="both"/>
        <w:rPr>
          <w:b/>
          <w:sz w:val="22"/>
          <w:szCs w:val="22"/>
        </w:rPr>
      </w:pPr>
      <w:r w:rsidRPr="00A5493B">
        <w:rPr>
          <w:b/>
          <w:sz w:val="22"/>
          <w:szCs w:val="22"/>
        </w:rPr>
        <w:lastRenderedPageBreak/>
        <w:t>GİTMEDEN ÖNCE HAZIRLANMASI GEREKEN BELGELER</w:t>
      </w:r>
    </w:p>
    <w:p w:rsidR="00B315E6" w:rsidRPr="0001731D" w:rsidRDefault="00B315E6" w:rsidP="00EE0070">
      <w:pPr>
        <w:jc w:val="both"/>
        <w:rPr>
          <w:sz w:val="22"/>
          <w:szCs w:val="22"/>
        </w:rPr>
      </w:pPr>
    </w:p>
    <w:p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w:t>
      </w:r>
      <w:proofErr w:type="gramStart"/>
      <w:r w:rsidR="008D483E" w:rsidRPr="0001731D">
        <w:rPr>
          <w:sz w:val="22"/>
          <w:szCs w:val="22"/>
        </w:rPr>
        <w:t>antetli</w:t>
      </w:r>
      <w:proofErr w:type="gramEnd"/>
      <w:r w:rsidR="008D483E" w:rsidRPr="0001731D">
        <w:rPr>
          <w:sz w:val="22"/>
          <w:szCs w:val="22"/>
        </w:rPr>
        <w:t xml:space="preserve">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Staj faaliyeti en geç 31</w:t>
      </w:r>
      <w:r w:rsidR="002D5528">
        <w:rPr>
          <w:sz w:val="22"/>
          <w:szCs w:val="22"/>
        </w:rPr>
        <w:t xml:space="preserve"> Mayıs 2020</w:t>
      </w:r>
      <w:bookmarkStart w:id="0" w:name="_GoBack"/>
      <w:bookmarkEnd w:id="0"/>
      <w:r w:rsidR="008D483E" w:rsidRPr="0001731D">
        <w:rPr>
          <w:sz w:val="22"/>
          <w:szCs w:val="22"/>
        </w:rPr>
        <w:t xml:space="preserve"> </w:t>
      </w:r>
      <w:r w:rsidR="005C3B00" w:rsidRPr="0001731D">
        <w:rPr>
          <w:sz w:val="22"/>
          <w:szCs w:val="22"/>
        </w:rPr>
        <w:t xml:space="preserve">tarihinde sona ermelidir. </w:t>
      </w:r>
    </w:p>
    <w:p w:rsidR="008D483E" w:rsidRPr="0001731D" w:rsidRDefault="008D483E" w:rsidP="008D483E">
      <w:pPr>
        <w:ind w:left="900"/>
        <w:jc w:val="both"/>
        <w:rPr>
          <w:sz w:val="22"/>
          <w:szCs w:val="22"/>
        </w:rPr>
      </w:pPr>
    </w:p>
    <w:p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rsidR="00807330" w:rsidRDefault="00807330" w:rsidP="00807330">
      <w:pPr>
        <w:pStyle w:val="ListeParagraf"/>
        <w:rPr>
          <w:b/>
          <w:sz w:val="22"/>
          <w:szCs w:val="22"/>
        </w:rPr>
      </w:pPr>
    </w:p>
    <w:p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rsidR="00807330" w:rsidRDefault="00807330" w:rsidP="00807330">
      <w:pPr>
        <w:ind w:left="900"/>
        <w:jc w:val="both"/>
        <w:rPr>
          <w:b/>
          <w:sz w:val="22"/>
          <w:szCs w:val="22"/>
        </w:rPr>
      </w:pPr>
    </w:p>
    <w:p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proofErr w:type="gramStart"/>
      <w:r w:rsidRPr="00807330">
        <w:rPr>
          <w:sz w:val="22"/>
          <w:szCs w:val="22"/>
        </w:rPr>
        <w:t>Entreprise</w:t>
      </w:r>
      <w:proofErr w:type="spellEnd"/>
      <w:r w:rsidRPr="00807330">
        <w:rPr>
          <w:sz w:val="22"/>
          <w:szCs w:val="22"/>
        </w:rPr>
        <w:t xml:space="preserve"> </w:t>
      </w:r>
      <w:r>
        <w:rPr>
          <w:sz w:val="22"/>
          <w:szCs w:val="22"/>
        </w:rPr>
        <w:t xml:space="preserve"> bölümünün</w:t>
      </w:r>
      <w:proofErr w:type="gramEnd"/>
      <w:r>
        <w:rPr>
          <w:sz w:val="22"/>
          <w:szCs w:val="22"/>
        </w:rPr>
        <w:t xml:space="preserve"> stajın tüm ayrıntılarını belirtecek şekilde detaylı ve uzun olarak doldurulması gerekmektedir.</w:t>
      </w:r>
    </w:p>
    <w:p w:rsidR="008D483E" w:rsidRPr="0001731D" w:rsidRDefault="008D483E" w:rsidP="008D483E">
      <w:pPr>
        <w:ind w:left="900"/>
        <w:jc w:val="both"/>
        <w:rPr>
          <w:b/>
          <w:sz w:val="22"/>
          <w:szCs w:val="22"/>
        </w:rPr>
      </w:pPr>
    </w:p>
    <w:p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rsidR="008D483E" w:rsidRPr="0001731D" w:rsidRDefault="008D483E" w:rsidP="008D483E">
      <w:pPr>
        <w:ind w:left="900"/>
        <w:jc w:val="both"/>
        <w:rPr>
          <w:b/>
          <w:sz w:val="22"/>
          <w:szCs w:val="22"/>
        </w:rPr>
      </w:pPr>
    </w:p>
    <w:p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rsidR="008D483E" w:rsidRPr="0001731D" w:rsidRDefault="008D483E" w:rsidP="008D483E">
      <w:pPr>
        <w:ind w:left="900"/>
        <w:jc w:val="both"/>
        <w:rPr>
          <w:sz w:val="22"/>
          <w:szCs w:val="22"/>
        </w:rPr>
      </w:pPr>
    </w:p>
    <w:p w:rsidR="00422455" w:rsidRPr="0001731D" w:rsidRDefault="00422455" w:rsidP="00EE0070">
      <w:pPr>
        <w:jc w:val="both"/>
        <w:rPr>
          <w:sz w:val="22"/>
          <w:szCs w:val="22"/>
        </w:rPr>
      </w:pPr>
    </w:p>
    <w:p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rsidR="00C42EFD" w:rsidRPr="0001731D" w:rsidRDefault="00C42EFD" w:rsidP="00C42EFD">
      <w:pPr>
        <w:pStyle w:val="ListeParagraf"/>
        <w:rPr>
          <w:sz w:val="22"/>
          <w:szCs w:val="22"/>
        </w:rPr>
      </w:pPr>
    </w:p>
    <w:p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rsidR="00C42EFD" w:rsidRPr="0001731D" w:rsidRDefault="00C42EFD" w:rsidP="00C42EFD">
      <w:pPr>
        <w:ind w:left="900"/>
        <w:jc w:val="both"/>
        <w:rPr>
          <w:sz w:val="22"/>
          <w:szCs w:val="22"/>
        </w:rPr>
      </w:pPr>
    </w:p>
    <w:p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proofErr w:type="gramStart"/>
      <w:r w:rsidR="0068372F" w:rsidRPr="0001731D">
        <w:rPr>
          <w:sz w:val="22"/>
          <w:szCs w:val="22"/>
        </w:rPr>
        <w:t>belge</w:t>
      </w:r>
      <w:proofErr w:type="gramEnd"/>
      <w:r w:rsidR="0068372F" w:rsidRPr="0001731D">
        <w:rPr>
          <w:sz w:val="22"/>
          <w:szCs w:val="22"/>
        </w:rPr>
        <w:t xml:space="preserv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rsidR="00C42EFD" w:rsidRPr="0001731D" w:rsidRDefault="00C42EFD" w:rsidP="00C42EFD">
      <w:pPr>
        <w:pStyle w:val="ListeParagraf"/>
        <w:rPr>
          <w:b/>
          <w:sz w:val="22"/>
          <w:szCs w:val="22"/>
        </w:rPr>
      </w:pPr>
    </w:p>
    <w:p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rsidR="0035517D" w:rsidRPr="0001731D" w:rsidRDefault="0035517D" w:rsidP="0035517D">
      <w:pPr>
        <w:jc w:val="both"/>
        <w:rPr>
          <w:b/>
          <w:sz w:val="22"/>
          <w:szCs w:val="22"/>
        </w:rPr>
      </w:pPr>
    </w:p>
    <w:p w:rsidR="0035517D" w:rsidRPr="0001731D" w:rsidRDefault="0035517D" w:rsidP="0035517D">
      <w:pPr>
        <w:ind w:left="900"/>
        <w:jc w:val="both"/>
        <w:rPr>
          <w:sz w:val="22"/>
          <w:szCs w:val="22"/>
        </w:rPr>
      </w:pPr>
      <w:r w:rsidRPr="0001731D">
        <w:rPr>
          <w:b/>
          <w:sz w:val="22"/>
          <w:szCs w:val="22"/>
        </w:rPr>
        <w:lastRenderedPageBreak/>
        <w:t>Mesuliyet sigortası</w:t>
      </w:r>
      <w:r w:rsidRPr="0001731D">
        <w:rPr>
          <w:sz w:val="22"/>
          <w:szCs w:val="22"/>
        </w:rPr>
        <w:t xml:space="preserve">, yurtdışında kaldığı süre boyunca öğrencinin (işyerinde olup olmamasından bağımsız olarak) sebep olduğu zararları karşılar. </w:t>
      </w:r>
      <w:proofErr w:type="spellStart"/>
      <w:r w:rsidRPr="0001731D">
        <w:rPr>
          <w:sz w:val="22"/>
          <w:szCs w:val="22"/>
        </w:rPr>
        <w:t>Ulusötesi</w:t>
      </w:r>
      <w:proofErr w:type="spellEnd"/>
      <w:r w:rsidRPr="0001731D">
        <w:rPr>
          <w:sz w:val="22"/>
          <w:szCs w:val="22"/>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rsidR="0035517D" w:rsidRPr="0001731D" w:rsidRDefault="0035517D" w:rsidP="0035517D">
      <w:pPr>
        <w:ind w:left="900"/>
        <w:jc w:val="both"/>
        <w:rPr>
          <w:sz w:val="22"/>
          <w:szCs w:val="22"/>
        </w:rPr>
      </w:pPr>
    </w:p>
    <w:p w:rsidR="0035517D" w:rsidRPr="0001731D" w:rsidRDefault="0035517D" w:rsidP="0035517D">
      <w:pPr>
        <w:ind w:left="900"/>
        <w:jc w:val="both"/>
        <w:rPr>
          <w:sz w:val="22"/>
          <w:szCs w:val="22"/>
        </w:rPr>
      </w:pPr>
      <w:r w:rsidRPr="0001731D">
        <w:rPr>
          <w:b/>
          <w:sz w:val="22"/>
          <w:szCs w:val="22"/>
        </w:rPr>
        <w:t>Kaza sigortası</w:t>
      </w:r>
      <w:r w:rsidRPr="0001731D">
        <w:rPr>
          <w:sz w:val="22"/>
          <w:szCs w:val="22"/>
        </w:rPr>
        <w:t xml:space="preserve">, çalışanların işyerindeki kazalardan ötürü uğrayabileceği zararları karşılamaktadır. Birçok ülkede, çalışanlar işyerindeki bu tür kazalara karşı sigortalıdır. Ancak, </w:t>
      </w:r>
      <w:proofErr w:type="spellStart"/>
      <w:r w:rsidRPr="0001731D">
        <w:rPr>
          <w:sz w:val="22"/>
          <w:szCs w:val="22"/>
        </w:rPr>
        <w:t>ulusötesi</w:t>
      </w:r>
      <w:proofErr w:type="spellEnd"/>
      <w:r w:rsidRPr="0001731D">
        <w:rPr>
          <w:sz w:val="22"/>
          <w:szCs w:val="22"/>
        </w:rPr>
        <w:t xml:space="preserve"> stajyerlerin aynı sigorta kapsamında ne ölçüde korunacağı </w:t>
      </w:r>
      <w:proofErr w:type="spellStart"/>
      <w:r w:rsidRPr="0001731D">
        <w:rPr>
          <w:sz w:val="22"/>
          <w:szCs w:val="22"/>
        </w:rPr>
        <w:t>ulusötesi</w:t>
      </w:r>
      <w:proofErr w:type="spellEnd"/>
      <w:r w:rsidRPr="0001731D">
        <w:rPr>
          <w:sz w:val="22"/>
          <w:szCs w:val="22"/>
        </w:rPr>
        <w:t xml:space="preserve">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rsidR="00A6545B" w:rsidRPr="0001731D" w:rsidRDefault="00A6545B" w:rsidP="0035517D">
      <w:pPr>
        <w:ind w:left="900"/>
        <w:jc w:val="both"/>
        <w:rPr>
          <w:sz w:val="22"/>
          <w:szCs w:val="22"/>
        </w:rPr>
      </w:pPr>
    </w:p>
    <w:p w:rsidR="007112B6" w:rsidRPr="0001731D" w:rsidRDefault="00AA2913" w:rsidP="007112B6">
      <w:pPr>
        <w:pStyle w:val="ListeParagraf"/>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 xml:space="preserve">Online olarak düzenlenen bu sınav Avrupa Komisyonu tarafından hazırlanmıştır ve </w:t>
      </w:r>
      <w:proofErr w:type="spellStart"/>
      <w:r w:rsidR="007112B6" w:rsidRPr="0001731D">
        <w:rPr>
          <w:sz w:val="22"/>
          <w:szCs w:val="22"/>
        </w:rPr>
        <w:t>Erasmus</w:t>
      </w:r>
      <w:proofErr w:type="spellEnd"/>
      <w:r w:rsidR="007112B6" w:rsidRPr="0001731D">
        <w:rPr>
          <w:sz w:val="22"/>
          <w:szCs w:val="22"/>
        </w:rPr>
        <w:t xml:space="preserve">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w:t>
      </w:r>
      <w:proofErr w:type="gramStart"/>
      <w:r w:rsidR="007112B6" w:rsidRPr="0001731D">
        <w:rPr>
          <w:sz w:val="22"/>
          <w:szCs w:val="22"/>
        </w:rPr>
        <w:t>kriter</w:t>
      </w:r>
      <w:proofErr w:type="gramEnd"/>
      <w:r w:rsidR="007112B6" w:rsidRPr="0001731D">
        <w:rPr>
          <w:sz w:val="22"/>
          <w:szCs w:val="22"/>
        </w:rPr>
        <w:t xml:space="preserve"> bulunmamaktadır.</w:t>
      </w:r>
    </w:p>
    <w:p w:rsidR="007112B6" w:rsidRPr="0001731D" w:rsidRDefault="007112B6" w:rsidP="007112B6">
      <w:pPr>
        <w:jc w:val="both"/>
        <w:rPr>
          <w:sz w:val="22"/>
          <w:szCs w:val="22"/>
        </w:rPr>
      </w:pPr>
    </w:p>
    <w:p w:rsidR="007112B6" w:rsidRPr="0001731D" w:rsidRDefault="007112B6" w:rsidP="007112B6">
      <w:pPr>
        <w:pStyle w:val="ListeParagraf"/>
        <w:ind w:left="900"/>
        <w:jc w:val="both"/>
        <w:rPr>
          <w:sz w:val="22"/>
          <w:szCs w:val="22"/>
        </w:rPr>
      </w:pPr>
      <w:r w:rsidRPr="0001731D">
        <w:rPr>
          <w:sz w:val="22"/>
          <w:szCs w:val="22"/>
        </w:rPr>
        <w:t xml:space="preserve">Öğrenciler hareketlilik süresince </w:t>
      </w:r>
      <w:proofErr w:type="gramStart"/>
      <w:r w:rsidRPr="0001731D">
        <w:rPr>
          <w:sz w:val="22"/>
          <w:szCs w:val="22"/>
        </w:rPr>
        <w:t>online</w:t>
      </w:r>
      <w:proofErr w:type="gramEnd"/>
      <w:r w:rsidRPr="0001731D">
        <w:rPr>
          <w:sz w:val="22"/>
          <w:szCs w:val="22"/>
        </w:rPr>
        <w:t xml:space="preserve"> dil kursu desteği de alabilirler. Ancak, bu kurstan yararlanabilecek öğrenci sayısı Ulusal Ajans tarafından belirlenecektir. Öğrencinin gideceği ülke ve kurumda kullanılan dilde sınava ve kursa katılması gerekir. </w:t>
      </w:r>
    </w:p>
    <w:p w:rsidR="0035517D" w:rsidRPr="0001731D" w:rsidRDefault="0035517D" w:rsidP="0035517D">
      <w:pPr>
        <w:jc w:val="both"/>
        <w:rPr>
          <w:b/>
          <w:sz w:val="22"/>
          <w:szCs w:val="22"/>
        </w:rPr>
      </w:pPr>
    </w:p>
    <w:p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w:t>
      </w:r>
      <w:proofErr w:type="gramStart"/>
      <w:r w:rsidR="007112B6" w:rsidRPr="0001731D">
        <w:rPr>
          <w:sz w:val="22"/>
          <w:szCs w:val="22"/>
        </w:rPr>
        <w:t>versiyonu</w:t>
      </w:r>
      <w:proofErr w:type="gramEnd"/>
      <w:r w:rsidR="007112B6" w:rsidRPr="0001731D">
        <w:rPr>
          <w:sz w:val="22"/>
          <w:szCs w:val="22"/>
        </w:rPr>
        <w:t xml:space="preserve">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rsidR="00B315E6" w:rsidRPr="0001731D" w:rsidRDefault="00B315E6" w:rsidP="0001731D">
      <w:pPr>
        <w:jc w:val="both"/>
        <w:rPr>
          <w:sz w:val="22"/>
          <w:szCs w:val="22"/>
        </w:rPr>
      </w:pPr>
    </w:p>
    <w:p w:rsidR="00B315E6" w:rsidRPr="0001731D" w:rsidRDefault="00A5493B" w:rsidP="00EE0070">
      <w:pPr>
        <w:jc w:val="both"/>
        <w:rPr>
          <w:b/>
          <w:sz w:val="22"/>
          <w:szCs w:val="22"/>
        </w:rPr>
      </w:pPr>
      <w:r>
        <w:rPr>
          <w:b/>
          <w:sz w:val="22"/>
          <w:szCs w:val="22"/>
        </w:rPr>
        <w:t>C</w:t>
      </w:r>
      <w:r w:rsidR="00B315E6" w:rsidRPr="0001731D">
        <w:rPr>
          <w:b/>
          <w:sz w:val="22"/>
          <w:szCs w:val="22"/>
        </w:rPr>
        <w:t>) HİBELERİN YATIRILMASI</w:t>
      </w:r>
    </w:p>
    <w:p w:rsidR="007112B6" w:rsidRPr="0001731D" w:rsidRDefault="007112B6" w:rsidP="007112B6">
      <w:pPr>
        <w:jc w:val="both"/>
        <w:rPr>
          <w:b/>
          <w:sz w:val="22"/>
          <w:szCs w:val="22"/>
        </w:rPr>
      </w:pPr>
    </w:p>
    <w:p w:rsidR="00105F21" w:rsidRDefault="00A866FA" w:rsidP="007112B6">
      <w:pPr>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Pr="0001731D" w:rsidRDefault="00807330" w:rsidP="007112B6">
      <w:pPr>
        <w:jc w:val="both"/>
        <w:rPr>
          <w:sz w:val="22"/>
          <w:szCs w:val="22"/>
        </w:rPr>
      </w:pPr>
    </w:p>
    <w:p w:rsidR="003F2DAE" w:rsidRPr="0001731D" w:rsidRDefault="003F2DAE" w:rsidP="00EE0070">
      <w:pPr>
        <w:jc w:val="both"/>
        <w:rPr>
          <w:sz w:val="22"/>
          <w:szCs w:val="22"/>
        </w:rPr>
      </w:pPr>
    </w:p>
    <w:p w:rsidR="003F2DAE" w:rsidRPr="0001731D" w:rsidRDefault="00D24366" w:rsidP="00EE0070">
      <w:pPr>
        <w:jc w:val="both"/>
        <w:rPr>
          <w:b/>
          <w:sz w:val="22"/>
          <w:szCs w:val="22"/>
        </w:rPr>
      </w:pPr>
      <w:r w:rsidRPr="0001731D">
        <w:rPr>
          <w:b/>
          <w:sz w:val="22"/>
          <w:szCs w:val="22"/>
        </w:rPr>
        <w:lastRenderedPageBreak/>
        <w:t xml:space="preserve">Hibe </w:t>
      </w:r>
      <w:r w:rsidR="008E1D91" w:rsidRPr="0001731D">
        <w:rPr>
          <w:b/>
          <w:sz w:val="22"/>
          <w:szCs w:val="22"/>
        </w:rPr>
        <w:t>M</w:t>
      </w:r>
      <w:r w:rsidRPr="0001731D">
        <w:rPr>
          <w:b/>
          <w:sz w:val="22"/>
          <w:szCs w:val="22"/>
        </w:rPr>
        <w:t>iktarları</w:t>
      </w:r>
    </w:p>
    <w:p w:rsidR="00105F21" w:rsidRPr="0001731D" w:rsidRDefault="00105F21" w:rsidP="00EE0070">
      <w:pPr>
        <w:jc w:val="both"/>
        <w:rPr>
          <w:b/>
          <w:sz w:val="22"/>
          <w:szCs w:val="22"/>
        </w:rPr>
      </w:pPr>
    </w:p>
    <w:tbl>
      <w:tblPr>
        <w:tblW w:w="7324" w:type="dxa"/>
        <w:tblInd w:w="-23" w:type="dxa"/>
        <w:tblCellMar>
          <w:left w:w="0" w:type="dxa"/>
          <w:right w:w="0" w:type="dxa"/>
        </w:tblCellMar>
        <w:tblLook w:val="04A0" w:firstRow="1" w:lastRow="0" w:firstColumn="1" w:lastColumn="0" w:noHBand="0" w:noVBand="1"/>
      </w:tblPr>
      <w:tblGrid>
        <w:gridCol w:w="2100"/>
        <w:gridCol w:w="3940"/>
        <w:gridCol w:w="1284"/>
      </w:tblGrid>
      <w:tr w:rsidR="00A45650" w:rsidRPr="0001731D" w:rsidTr="0001731D">
        <w:trPr>
          <w:trHeight w:val="715"/>
        </w:trPr>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Hayat pahalılığına göre ülke türleri</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Hareketlilikte Misafir Olunan Ülkeler</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Aylık Öğrenci Staj Hibesi (€)</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1.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Avusturya, Danimarka, Finlandiya, Fransa, İrlanda, İtalya, Lihtenştayn, Norveç, İsveç, İsviçre, Birleşik Krallık</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600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2.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Belçika, Hırvatistan, Çek Cumhuriyeti, Kıbrıs Rum Kesimi, Almanya, Yunanistan, İzlanda, Lüksemburg, Hollanda, Portekiz, Slovenya, İspanya, Türkiye</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500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3.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Bulgaristan, Estonya, Macaristan, Letonya, Litvanya, Malta, Polonya, Romanya, Slovakya, Makedonya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400</w:t>
            </w:r>
          </w:p>
        </w:tc>
      </w:tr>
    </w:tbl>
    <w:p w:rsidR="00DC4B5D" w:rsidRPr="0001731D" w:rsidRDefault="00DC4B5D" w:rsidP="00EE0070">
      <w:pPr>
        <w:jc w:val="both"/>
        <w:rPr>
          <w:b/>
          <w:sz w:val="22"/>
          <w:szCs w:val="22"/>
        </w:rPr>
      </w:pPr>
    </w:p>
    <w:p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rsidR="002F2434" w:rsidRPr="0001731D" w:rsidRDefault="002F2434" w:rsidP="00EE0070">
      <w:pPr>
        <w:ind w:left="180"/>
        <w:jc w:val="both"/>
        <w:rPr>
          <w:b/>
          <w:sz w:val="22"/>
          <w:szCs w:val="22"/>
        </w:rPr>
      </w:pPr>
    </w:p>
    <w:p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rsidR="006E3F05" w:rsidRPr="0001731D" w:rsidRDefault="006E3F05" w:rsidP="006E3F05">
      <w:pPr>
        <w:ind w:left="284"/>
        <w:jc w:val="both"/>
        <w:rPr>
          <w:color w:val="FF0000"/>
          <w:sz w:val="22"/>
          <w:szCs w:val="22"/>
        </w:rPr>
      </w:pPr>
    </w:p>
    <w:p w:rsidR="006E3F05" w:rsidRPr="0001731D" w:rsidRDefault="006E3F05" w:rsidP="006E3F05">
      <w:pPr>
        <w:jc w:val="both"/>
        <w:rPr>
          <w:sz w:val="22"/>
          <w:szCs w:val="22"/>
        </w:rPr>
      </w:pPr>
      <w:r w:rsidRPr="0001731D">
        <w:rPr>
          <w:sz w:val="22"/>
          <w:szCs w:val="22"/>
        </w:rPr>
        <w:t xml:space="preserve">Resmi yazı alındıktan sonra işler tamamlandıktan sonra Ulus Zincirli Camii arkasında yer alan Vergi Dairesi Başkanlığı'na gidilmesi gerekmektedir. Vergi Dairesi’ne giderken kimlik fotokopisi, okul kimliği fotokopisi, okuldaki işlemler sonrasında verilen belgenin fotokopisi gerekmektedir. Oradaki işlemler tamamlandıktan sonra Emniyet Genel Müdürlüğü’ne gerekli belgelerle gidilip pasaport çıkartılmaktadır. </w:t>
      </w:r>
    </w:p>
    <w:p w:rsidR="006E3F05" w:rsidRPr="0001731D" w:rsidRDefault="006E3F05" w:rsidP="006E3F05">
      <w:pPr>
        <w:ind w:left="284"/>
        <w:jc w:val="both"/>
        <w:rPr>
          <w:sz w:val="22"/>
          <w:szCs w:val="22"/>
        </w:rPr>
      </w:pPr>
    </w:p>
    <w:p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rsidR="000D7FD2" w:rsidRPr="0001731D" w:rsidRDefault="000D7FD2" w:rsidP="0001731D">
      <w:pPr>
        <w:jc w:val="both"/>
        <w:rPr>
          <w:b/>
          <w:sz w:val="22"/>
          <w:szCs w:val="22"/>
        </w:rPr>
      </w:pPr>
    </w:p>
    <w:p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rsidR="00B315E6" w:rsidRPr="0001731D" w:rsidRDefault="00B315E6" w:rsidP="0001731D">
      <w:pPr>
        <w:jc w:val="both"/>
        <w:rPr>
          <w:b/>
          <w:sz w:val="22"/>
          <w:szCs w:val="22"/>
        </w:rPr>
      </w:pPr>
    </w:p>
    <w:p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rsidR="00B315E6" w:rsidRPr="0001731D" w:rsidRDefault="00B315E6" w:rsidP="00EE0070">
      <w:pPr>
        <w:ind w:left="180"/>
        <w:jc w:val="both"/>
        <w:rPr>
          <w:b/>
          <w:sz w:val="22"/>
          <w:szCs w:val="22"/>
        </w:rPr>
      </w:pPr>
    </w:p>
    <w:p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proofErr w:type="gramStart"/>
      <w:r w:rsidR="0013541A">
        <w:rPr>
          <w:sz w:val="22"/>
          <w:szCs w:val="22"/>
        </w:rPr>
        <w:t>after</w:t>
      </w:r>
      <w:proofErr w:type="spellEnd"/>
      <w:r w:rsidR="0013541A">
        <w:rPr>
          <w:sz w:val="22"/>
          <w:szCs w:val="22"/>
        </w:rPr>
        <w:t xml:space="preserve"> </w:t>
      </w:r>
      <w:r w:rsidR="00B73054" w:rsidRPr="0001731D">
        <w:rPr>
          <w:sz w:val="22"/>
          <w:szCs w:val="22"/>
        </w:rPr>
        <w:t xml:space="preserve"> </w:t>
      </w:r>
      <w:proofErr w:type="spellStart"/>
      <w:r w:rsidR="00B73054" w:rsidRPr="0001731D">
        <w:rPr>
          <w:sz w:val="22"/>
          <w:szCs w:val="22"/>
        </w:rPr>
        <w:t>the</w:t>
      </w:r>
      <w:proofErr w:type="spellEnd"/>
      <w:proofErr w:type="gram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w:t>
      </w:r>
      <w:proofErr w:type="spellStart"/>
      <w:r w:rsidR="00B73054" w:rsidRPr="0001731D">
        <w:rPr>
          <w:sz w:val="22"/>
          <w:szCs w:val="22"/>
        </w:rPr>
        <w:t>UİO’ya</w:t>
      </w:r>
      <w:proofErr w:type="spellEnd"/>
      <w:r w:rsidR="00B73054" w:rsidRPr="0001731D">
        <w:rPr>
          <w:sz w:val="22"/>
          <w:szCs w:val="22"/>
        </w:rPr>
        <w:t xml:space="preserve"> teslim edilir. </w:t>
      </w:r>
    </w:p>
    <w:p w:rsidR="00B73054" w:rsidRPr="0001731D" w:rsidRDefault="00B73054" w:rsidP="00B73054">
      <w:pPr>
        <w:ind w:left="900"/>
        <w:jc w:val="both"/>
        <w:rPr>
          <w:sz w:val="22"/>
          <w:szCs w:val="22"/>
        </w:rPr>
      </w:pPr>
    </w:p>
    <w:p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rsidR="00B73054" w:rsidRPr="0001731D" w:rsidRDefault="00B73054" w:rsidP="00B73054">
      <w:pPr>
        <w:pStyle w:val="ListeParagraf"/>
        <w:rPr>
          <w:sz w:val="22"/>
          <w:szCs w:val="22"/>
        </w:rPr>
      </w:pPr>
    </w:p>
    <w:p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rsidR="00B73054" w:rsidRPr="0001731D" w:rsidRDefault="00B73054" w:rsidP="00B73054">
      <w:pPr>
        <w:ind w:left="900"/>
        <w:jc w:val="both"/>
        <w:rPr>
          <w:sz w:val="22"/>
          <w:szCs w:val="22"/>
        </w:rPr>
      </w:pPr>
    </w:p>
    <w:p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rsidR="009611A5" w:rsidRPr="0001731D" w:rsidRDefault="009611A5" w:rsidP="00B73054">
      <w:pPr>
        <w:ind w:left="900"/>
        <w:jc w:val="both"/>
        <w:rPr>
          <w:b/>
          <w:sz w:val="22"/>
          <w:szCs w:val="22"/>
        </w:rPr>
      </w:pPr>
    </w:p>
    <w:p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w:t>
      </w:r>
      <w:proofErr w:type="gramStart"/>
      <w:r w:rsidR="00B73054" w:rsidRPr="0001731D">
        <w:rPr>
          <w:sz w:val="22"/>
          <w:szCs w:val="22"/>
        </w:rPr>
        <w:t>versiyonu</w:t>
      </w:r>
      <w:proofErr w:type="gramEnd"/>
      <w:r w:rsidR="00B73054" w:rsidRPr="0001731D">
        <w:rPr>
          <w:sz w:val="22"/>
          <w:szCs w:val="22"/>
        </w:rPr>
        <w:t xml:space="preserve"> </w:t>
      </w:r>
      <w:proofErr w:type="spellStart"/>
      <w:r w:rsidR="00B73054" w:rsidRPr="0001731D">
        <w:rPr>
          <w:sz w:val="22"/>
          <w:szCs w:val="22"/>
        </w:rPr>
        <w:t>UİO’ya</w:t>
      </w:r>
      <w:proofErr w:type="spellEnd"/>
      <w:r w:rsidR="00B73054" w:rsidRPr="0001731D">
        <w:rPr>
          <w:sz w:val="22"/>
          <w:szCs w:val="22"/>
        </w:rPr>
        <w:t xml:space="preserve"> teslim edilmelidir. </w:t>
      </w:r>
    </w:p>
    <w:p w:rsidR="00B315E6" w:rsidRPr="0001731D" w:rsidRDefault="005E7248" w:rsidP="00EE0070">
      <w:pPr>
        <w:ind w:left="540"/>
        <w:jc w:val="both"/>
        <w:rPr>
          <w:b/>
          <w:sz w:val="22"/>
          <w:szCs w:val="22"/>
        </w:rPr>
      </w:pPr>
      <w:r w:rsidRPr="0001731D">
        <w:rPr>
          <w:b/>
          <w:sz w:val="22"/>
          <w:szCs w:val="22"/>
        </w:rPr>
        <w:t xml:space="preserve"> </w:t>
      </w:r>
    </w:p>
    <w:p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rsidR="00AA2913" w:rsidRPr="0001731D" w:rsidRDefault="00AA2913" w:rsidP="00AA2913">
      <w:pPr>
        <w:pStyle w:val="ListeParagraf"/>
        <w:rPr>
          <w:sz w:val="22"/>
          <w:szCs w:val="22"/>
        </w:rPr>
      </w:pPr>
    </w:p>
    <w:p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xml:space="preserve">+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w:t>
      </w:r>
      <w:proofErr w:type="gramStart"/>
      <w:r w:rsidRPr="0001731D">
        <w:rPr>
          <w:sz w:val="22"/>
          <w:szCs w:val="22"/>
        </w:rPr>
        <w:t>versiyonunun</w:t>
      </w:r>
      <w:proofErr w:type="gramEnd"/>
      <w:r w:rsidRPr="0001731D">
        <w:rPr>
          <w:sz w:val="22"/>
          <w:szCs w:val="22"/>
        </w:rPr>
        <w:t xml:space="preserve">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rsidR="00AA2913" w:rsidRPr="0001731D" w:rsidRDefault="00AA2913" w:rsidP="00AA2913">
      <w:pPr>
        <w:pStyle w:val="ListeParagraf"/>
        <w:ind w:left="900"/>
        <w:jc w:val="both"/>
        <w:rPr>
          <w:sz w:val="22"/>
          <w:szCs w:val="22"/>
        </w:rPr>
      </w:pPr>
    </w:p>
    <w:p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w:t>
      </w:r>
      <w:proofErr w:type="gramStart"/>
      <w:r w:rsidR="00AA2913" w:rsidRPr="0001731D">
        <w:rPr>
          <w:sz w:val="22"/>
          <w:szCs w:val="22"/>
        </w:rPr>
        <w:t>onlin</w:t>
      </w:r>
      <w:r w:rsidRPr="0001731D">
        <w:rPr>
          <w:sz w:val="22"/>
          <w:szCs w:val="22"/>
        </w:rPr>
        <w:t>e</w:t>
      </w:r>
      <w:proofErr w:type="gramEnd"/>
      <w:r w:rsidRPr="0001731D">
        <w:rPr>
          <w:sz w:val="22"/>
          <w:szCs w:val="22"/>
        </w:rPr>
        <w:t xml:space="preserv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%5 kesinti yapılacaktır</w:t>
      </w:r>
      <w:r w:rsidR="00AA2913" w:rsidRPr="0001731D">
        <w:rPr>
          <w:sz w:val="22"/>
          <w:szCs w:val="22"/>
        </w:rPr>
        <w:t xml:space="preserve"> </w:t>
      </w:r>
    </w:p>
    <w:p w:rsidR="00B315E6" w:rsidRPr="0001731D" w:rsidRDefault="00B315E6" w:rsidP="00AA2913">
      <w:pPr>
        <w:jc w:val="both"/>
        <w:rPr>
          <w:sz w:val="22"/>
          <w:szCs w:val="22"/>
        </w:rPr>
      </w:pPr>
    </w:p>
    <w:p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01731D" w:rsidRPr="0001731D">
          <w:rPr>
            <w:rStyle w:val="Kpr"/>
            <w:sz w:val="22"/>
            <w:szCs w:val="22"/>
          </w:rPr>
          <w:t>http://ico.metu.edu.tr/useful-documents-0</w:t>
        </w:r>
      </w:hyperlink>
    </w:p>
    <w:p w:rsidR="0001731D" w:rsidRDefault="0001731D" w:rsidP="0001731D">
      <w:pPr>
        <w:ind w:left="284"/>
        <w:jc w:val="both"/>
        <w:rPr>
          <w:b/>
          <w:sz w:val="22"/>
          <w:szCs w:val="22"/>
        </w:rPr>
      </w:pPr>
    </w:p>
    <w:p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rsidR="0001731D" w:rsidRPr="0001731D" w:rsidRDefault="0001731D" w:rsidP="0001731D">
      <w:pPr>
        <w:ind w:left="284"/>
        <w:jc w:val="both"/>
        <w:rPr>
          <w:b/>
          <w:sz w:val="22"/>
          <w:szCs w:val="22"/>
        </w:rPr>
      </w:pPr>
      <w:r w:rsidRPr="0001731D">
        <w:rPr>
          <w:b/>
          <w:sz w:val="22"/>
          <w:szCs w:val="22"/>
        </w:rPr>
        <w:t xml:space="preserve"> </w:t>
      </w:r>
    </w:p>
    <w:p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rsidR="0001731D" w:rsidRPr="0001731D" w:rsidRDefault="0001731D" w:rsidP="0001731D">
      <w:pPr>
        <w:ind w:left="284"/>
        <w:jc w:val="both"/>
        <w:rPr>
          <w:b/>
          <w:sz w:val="22"/>
          <w:szCs w:val="22"/>
        </w:rPr>
      </w:pPr>
    </w:p>
    <w:p w:rsidR="00807330" w:rsidRDefault="00807330" w:rsidP="00807330">
      <w:pPr>
        <w:pStyle w:val="NormalWeb"/>
        <w:shd w:val="clear" w:color="auto" w:fill="FFFFFF"/>
        <w:spacing w:before="0" w:beforeAutospacing="0" w:after="0" w:afterAutospacing="0"/>
        <w:ind w:left="705"/>
        <w:textAlignment w:val="baseline"/>
        <w:rPr>
          <w:rStyle w:val="Kpr"/>
          <w:rFonts w:asciiTheme="minorHAnsi" w:hAnsiTheme="minorHAnsi" w:cs="Arial"/>
          <w:sz w:val="22"/>
          <w:szCs w:val="22"/>
          <w:bdr w:val="none" w:sz="0" w:space="0" w:color="auto" w:frame="1"/>
        </w:rPr>
      </w:pPr>
      <w:r>
        <w:rPr>
          <w:rFonts w:asciiTheme="minorHAnsi" w:hAnsiTheme="minorHAnsi" w:cs="Arial"/>
          <w:sz w:val="22"/>
          <w:szCs w:val="22"/>
        </w:rPr>
        <w:lastRenderedPageBreak/>
        <w:t xml:space="preserve">Betül Bulut Şahin, </w:t>
      </w:r>
      <w:proofErr w:type="spellStart"/>
      <w:r>
        <w:rPr>
          <w:rFonts w:asciiTheme="minorHAnsi" w:hAnsiTheme="minorHAnsi" w:cs="Arial"/>
          <w:sz w:val="22"/>
          <w:szCs w:val="22"/>
        </w:rPr>
        <w:t>PhD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Coordinator</w:t>
      </w:r>
      <w:proofErr w:type="spellEnd"/>
      <w:r>
        <w:rPr>
          <w:rFonts w:asciiTheme="minorHAnsi" w:hAnsiTheme="minorHAnsi" w:cs="Arial"/>
          <w:sz w:val="22"/>
          <w:szCs w:val="22"/>
        </w:rPr>
        <w:t>): +90 312 210 7178,</w:t>
      </w:r>
      <w:r>
        <w:rPr>
          <w:rStyle w:val="apple-converted-space"/>
          <w:rFonts w:asciiTheme="minorHAnsi" w:hAnsiTheme="minorHAnsi" w:cs="Arial"/>
          <w:sz w:val="22"/>
          <w:szCs w:val="22"/>
        </w:rPr>
        <w:t> </w:t>
      </w:r>
      <w:hyperlink r:id="rId9" w:history="1">
        <w:r>
          <w:rPr>
            <w:rStyle w:val="Kpr"/>
            <w:rFonts w:asciiTheme="minorHAnsi" w:hAnsiTheme="minorHAnsi" w:cs="Arial"/>
            <w:sz w:val="22"/>
            <w:szCs w:val="22"/>
            <w:bdr w:val="none" w:sz="0" w:space="0" w:color="auto" w:frame="1"/>
          </w:rPr>
          <w:t>sbetul@metu.edu.tr</w:t>
        </w:r>
      </w:hyperlink>
      <w:r>
        <w:rPr>
          <w:rFonts w:asciiTheme="minorHAnsi" w:hAnsiTheme="minorHAnsi" w:cs="Arial"/>
          <w:sz w:val="22"/>
          <w:szCs w:val="22"/>
        </w:rPr>
        <w:br/>
        <w:t>Seda Okur, M.S : +90 312 210 3405,</w:t>
      </w:r>
      <w:r>
        <w:rPr>
          <w:rStyle w:val="apple-converted-space"/>
          <w:rFonts w:asciiTheme="minorHAnsi" w:hAnsiTheme="minorHAnsi" w:cs="Arial"/>
          <w:sz w:val="22"/>
          <w:szCs w:val="22"/>
        </w:rPr>
        <w:t> </w:t>
      </w:r>
      <w:hyperlink r:id="rId10" w:history="1">
        <w:r>
          <w:rPr>
            <w:rStyle w:val="Kpr"/>
            <w:rFonts w:asciiTheme="minorHAnsi" w:hAnsiTheme="minorHAnsi" w:cs="Arial"/>
            <w:sz w:val="22"/>
            <w:szCs w:val="22"/>
            <w:bdr w:val="none" w:sz="0" w:space="0" w:color="auto" w:frame="1"/>
          </w:rPr>
          <w:t>seokur@metu.edu.tr</w:t>
        </w:r>
      </w:hyperlink>
      <w:r>
        <w:rPr>
          <w:rFonts w:asciiTheme="minorHAnsi" w:hAnsiTheme="minorHAnsi" w:cs="Arial"/>
          <w:sz w:val="22"/>
          <w:szCs w:val="22"/>
        </w:rPr>
        <w:br/>
      </w:r>
      <w:proofErr w:type="spellStart"/>
      <w:r>
        <w:rPr>
          <w:rFonts w:asciiTheme="minorHAnsi" w:hAnsiTheme="minorHAnsi" w:cs="Arial"/>
          <w:sz w:val="22"/>
          <w:szCs w:val="22"/>
        </w:rPr>
        <w:t>Ummahan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Çataloğlu</w:t>
      </w:r>
      <w:proofErr w:type="spellEnd"/>
      <w:r>
        <w:rPr>
          <w:rFonts w:asciiTheme="minorHAnsi" w:hAnsiTheme="minorHAnsi" w:cs="Arial"/>
          <w:sz w:val="22"/>
          <w:szCs w:val="22"/>
        </w:rPr>
        <w:t xml:space="preserve"> : +90 312 210 3499,</w:t>
      </w:r>
      <w:r>
        <w:rPr>
          <w:rStyle w:val="apple-converted-space"/>
          <w:rFonts w:asciiTheme="minorHAnsi" w:hAnsiTheme="minorHAnsi" w:cs="Arial"/>
          <w:sz w:val="22"/>
          <w:szCs w:val="22"/>
        </w:rPr>
        <w:t> </w:t>
      </w:r>
      <w:hyperlink r:id="rId11" w:history="1">
        <w:r>
          <w:rPr>
            <w:rStyle w:val="Kpr"/>
            <w:rFonts w:asciiTheme="minorHAnsi" w:hAnsiTheme="minorHAnsi" w:cs="Arial"/>
            <w:sz w:val="22"/>
            <w:szCs w:val="22"/>
            <w:bdr w:val="none" w:sz="0" w:space="0" w:color="auto" w:frame="1"/>
          </w:rPr>
          <w:t>ummahan@metu.edu.tr</w:t>
        </w:r>
      </w:hyperlink>
    </w:p>
    <w:p w:rsidR="00807330" w:rsidRDefault="00807330" w:rsidP="00807330">
      <w:pPr>
        <w:pStyle w:val="NormalWeb"/>
        <w:shd w:val="clear" w:color="auto" w:fill="FFFFFF"/>
        <w:spacing w:before="0" w:beforeAutospacing="0" w:after="0" w:afterAutospacing="0"/>
        <w:ind w:firstLine="705"/>
        <w:textAlignment w:val="baseline"/>
      </w:pPr>
      <w:r>
        <w:rPr>
          <w:rFonts w:asciiTheme="minorHAnsi" w:hAnsiTheme="minorHAnsi" w:cs="Arial"/>
          <w:sz w:val="22"/>
          <w:szCs w:val="22"/>
        </w:rPr>
        <w:t xml:space="preserve">Eren </w:t>
      </w:r>
      <w:proofErr w:type="spellStart"/>
      <w:r>
        <w:rPr>
          <w:rFonts w:asciiTheme="minorHAnsi" w:hAnsiTheme="minorHAnsi" w:cs="Arial"/>
          <w:sz w:val="22"/>
          <w:szCs w:val="22"/>
        </w:rPr>
        <w:t>Aslıhak</w:t>
      </w:r>
      <w:proofErr w:type="spellEnd"/>
      <w:r>
        <w:rPr>
          <w:rFonts w:asciiTheme="minorHAnsi" w:hAnsiTheme="minorHAnsi" w:cs="Arial"/>
          <w:sz w:val="22"/>
          <w:szCs w:val="22"/>
        </w:rPr>
        <w:t xml:space="preserve">, M.S. : +90 312 7177, </w:t>
      </w:r>
      <w:hyperlink r:id="rId12" w:history="1">
        <w:r>
          <w:rPr>
            <w:rStyle w:val="Kpr"/>
            <w:rFonts w:asciiTheme="minorHAnsi" w:hAnsiTheme="minorHAnsi" w:cs="Arial"/>
            <w:sz w:val="22"/>
            <w:szCs w:val="22"/>
          </w:rPr>
          <w:t>aslihak@metu.edu.tr</w:t>
        </w:r>
      </w:hyperlink>
    </w:p>
    <w:p w:rsidR="00807330" w:rsidRDefault="00807330" w:rsidP="00807330">
      <w:pPr>
        <w:pStyle w:val="NormalWeb"/>
        <w:shd w:val="clear" w:color="auto" w:fill="FFFFFF"/>
        <w:spacing w:before="0" w:beforeAutospacing="0" w:after="0" w:afterAutospacing="0"/>
        <w:ind w:firstLine="705"/>
        <w:textAlignment w:val="baseline"/>
        <w:rPr>
          <w:rFonts w:asciiTheme="minorHAnsi" w:hAnsiTheme="minorHAnsi" w:cs="Arial"/>
          <w:sz w:val="22"/>
          <w:szCs w:val="22"/>
        </w:rPr>
      </w:pPr>
      <w:r>
        <w:rPr>
          <w:rFonts w:asciiTheme="minorHAnsi" w:hAnsiTheme="minorHAnsi" w:cs="Arial"/>
          <w:sz w:val="22"/>
          <w:szCs w:val="22"/>
        </w:rPr>
        <w:t xml:space="preserve">Faruk Cam: +90 312 210 70 70, </w:t>
      </w:r>
      <w:r w:rsidRPr="00807330">
        <w:rPr>
          <w:rStyle w:val="Kpr"/>
        </w:rPr>
        <w:t>farukcam@metu.edu.tr</w:t>
      </w:r>
    </w:p>
    <w:p w:rsidR="0001731D" w:rsidRPr="0001731D" w:rsidRDefault="0001731D" w:rsidP="0001731D">
      <w:pPr>
        <w:pStyle w:val="NormalWeb"/>
        <w:shd w:val="clear" w:color="auto" w:fill="FFFFFF"/>
        <w:spacing w:before="0" w:beforeAutospacing="0" w:after="0" w:afterAutospacing="0"/>
        <w:ind w:left="284"/>
        <w:textAlignment w:val="baseline"/>
        <w:rPr>
          <w:color w:val="333333"/>
          <w:sz w:val="22"/>
          <w:szCs w:val="22"/>
        </w:rPr>
      </w:pPr>
    </w:p>
    <w:p w:rsidR="0001731D" w:rsidRPr="0001731D" w:rsidRDefault="0001731D" w:rsidP="0001731D">
      <w:pPr>
        <w:ind w:left="284"/>
        <w:jc w:val="both"/>
        <w:rPr>
          <w:b/>
          <w:sz w:val="22"/>
          <w:szCs w:val="22"/>
        </w:rPr>
      </w:pPr>
    </w:p>
    <w:p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3" w:history="1">
        <w:r w:rsidRPr="0001731D">
          <w:rPr>
            <w:rStyle w:val="Kpr"/>
            <w:sz w:val="22"/>
            <w:szCs w:val="22"/>
          </w:rPr>
          <w:t>www.ico.metu.edu.tr</w:t>
        </w:r>
      </w:hyperlink>
      <w:r>
        <w:rPr>
          <w:sz w:val="22"/>
          <w:szCs w:val="22"/>
        </w:rPr>
        <w:t xml:space="preserve">, </w:t>
      </w:r>
      <w:hyperlink r:id="rId14" w:history="1">
        <w:r w:rsidRPr="0001731D">
          <w:rPr>
            <w:rStyle w:val="Kpr"/>
            <w:color w:val="333333"/>
            <w:sz w:val="22"/>
            <w:szCs w:val="22"/>
            <w:bdr w:val="none" w:sz="0" w:space="0" w:color="auto" w:frame="1"/>
          </w:rPr>
          <w:t>europeanmobility@metu.edu.tr</w:t>
        </w:r>
      </w:hyperlink>
    </w:p>
    <w:sectPr w:rsidR="0001731D" w:rsidRPr="0001731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F1" w:rsidRDefault="00ED50F1" w:rsidP="00F02F16">
      <w:r>
        <w:separator/>
      </w:r>
    </w:p>
  </w:endnote>
  <w:endnote w:type="continuationSeparator" w:id="0">
    <w:p w:rsidR="00ED50F1" w:rsidRDefault="00ED50F1"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A8" w:rsidRDefault="009611A5">
    <w:pPr>
      <w:pStyle w:val="AltBilgi"/>
      <w:jc w:val="center"/>
    </w:pPr>
    <w:r>
      <w:fldChar w:fldCharType="begin"/>
    </w:r>
    <w:r>
      <w:instrText xml:space="preserve"> PAGE   \* MERGEFORMAT </w:instrText>
    </w:r>
    <w:r>
      <w:fldChar w:fldCharType="separate"/>
    </w:r>
    <w:r w:rsidR="002D5528">
      <w:rPr>
        <w:noProof/>
      </w:rPr>
      <w:t>2</w:t>
    </w:r>
    <w:r>
      <w:rPr>
        <w:noProof/>
      </w:rPr>
      <w:fldChar w:fldCharType="end"/>
    </w:r>
  </w:p>
  <w:p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F1" w:rsidRDefault="00ED50F1" w:rsidP="00F02F16">
      <w:r>
        <w:separator/>
      </w:r>
    </w:p>
  </w:footnote>
  <w:footnote w:type="continuationSeparator" w:id="0">
    <w:p w:rsidR="00ED50F1" w:rsidRDefault="00ED50F1"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2D30" wp14:editId="386E74C3">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A"/>
    <w:rsid w:val="00011560"/>
    <w:rsid w:val="0001731D"/>
    <w:rsid w:val="0004705A"/>
    <w:rsid w:val="000A72DD"/>
    <w:rsid w:val="000D6CD1"/>
    <w:rsid w:val="000D7FD2"/>
    <w:rsid w:val="00105F21"/>
    <w:rsid w:val="0013541A"/>
    <w:rsid w:val="002003D1"/>
    <w:rsid w:val="002242D9"/>
    <w:rsid w:val="0025671B"/>
    <w:rsid w:val="00267FF9"/>
    <w:rsid w:val="002D5528"/>
    <w:rsid w:val="002E022C"/>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C3B00"/>
    <w:rsid w:val="005C7506"/>
    <w:rsid w:val="005E7248"/>
    <w:rsid w:val="00600997"/>
    <w:rsid w:val="00601D10"/>
    <w:rsid w:val="00662799"/>
    <w:rsid w:val="0068372F"/>
    <w:rsid w:val="006E3F05"/>
    <w:rsid w:val="006E655F"/>
    <w:rsid w:val="006F17CE"/>
    <w:rsid w:val="007001CF"/>
    <w:rsid w:val="00700CDE"/>
    <w:rsid w:val="00703B92"/>
    <w:rsid w:val="007112B6"/>
    <w:rsid w:val="00726CDC"/>
    <w:rsid w:val="0074428B"/>
    <w:rsid w:val="007503F0"/>
    <w:rsid w:val="007551AB"/>
    <w:rsid w:val="007D669B"/>
    <w:rsid w:val="00807330"/>
    <w:rsid w:val="00817B95"/>
    <w:rsid w:val="008271F7"/>
    <w:rsid w:val="008340AB"/>
    <w:rsid w:val="008562E2"/>
    <w:rsid w:val="008D023D"/>
    <w:rsid w:val="008D483E"/>
    <w:rsid w:val="008E1D91"/>
    <w:rsid w:val="00923240"/>
    <w:rsid w:val="009611A5"/>
    <w:rsid w:val="009973E8"/>
    <w:rsid w:val="009E21DB"/>
    <w:rsid w:val="00A00E8B"/>
    <w:rsid w:val="00A02B13"/>
    <w:rsid w:val="00A1653A"/>
    <w:rsid w:val="00A45650"/>
    <w:rsid w:val="00A5493B"/>
    <w:rsid w:val="00A6545B"/>
    <w:rsid w:val="00A866FA"/>
    <w:rsid w:val="00A93FB2"/>
    <w:rsid w:val="00AA2913"/>
    <w:rsid w:val="00AB680A"/>
    <w:rsid w:val="00B10383"/>
    <w:rsid w:val="00B315E6"/>
    <w:rsid w:val="00B362FA"/>
    <w:rsid w:val="00B73054"/>
    <w:rsid w:val="00B74674"/>
    <w:rsid w:val="00C42EFD"/>
    <w:rsid w:val="00C839CA"/>
    <w:rsid w:val="00C9526E"/>
    <w:rsid w:val="00CC16B3"/>
    <w:rsid w:val="00CC505A"/>
    <w:rsid w:val="00CD13A5"/>
    <w:rsid w:val="00CD295C"/>
    <w:rsid w:val="00D24366"/>
    <w:rsid w:val="00D31EF6"/>
    <w:rsid w:val="00D342BE"/>
    <w:rsid w:val="00D342DE"/>
    <w:rsid w:val="00DA5D55"/>
    <w:rsid w:val="00DC4B5D"/>
    <w:rsid w:val="00E65774"/>
    <w:rsid w:val="00E91FBD"/>
    <w:rsid w:val="00EB0DA8"/>
    <w:rsid w:val="00ED2FAB"/>
    <w:rsid w:val="00ED50F1"/>
    <w:rsid w:val="00ED7CEA"/>
    <w:rsid w:val="00EE0070"/>
    <w:rsid w:val="00F02F16"/>
    <w:rsid w:val="00F14FED"/>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0976F"/>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0" TargetMode="External"/><Relationship Id="rId13" Type="http://schemas.openxmlformats.org/officeDocument/2006/relationships/hyperlink" Target="http://www.ico.met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lihak@met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mahan@met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okur@metu.edu.tr" TargetMode="External"/><Relationship Id="rId4" Type="http://schemas.openxmlformats.org/officeDocument/2006/relationships/settings" Target="settings.xml"/><Relationship Id="rId9" Type="http://schemas.openxmlformats.org/officeDocument/2006/relationships/hyperlink" Target="mailto:sbetul@metu.edu.tr" TargetMode="External"/><Relationship Id="rId14" Type="http://schemas.openxmlformats.org/officeDocument/2006/relationships/hyperlink" Target="mailto:europeanmobility@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CBD-EEC7-48C3-A75F-E184BDF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2579</Words>
  <Characters>14704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17249</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odtu</cp:lastModifiedBy>
  <cp:revision>4</cp:revision>
  <cp:lastPrinted>2012-03-30T08:35:00Z</cp:lastPrinted>
  <dcterms:created xsi:type="dcterms:W3CDTF">2018-09-03T12:02:00Z</dcterms:created>
  <dcterms:modified xsi:type="dcterms:W3CDTF">2019-02-14T06:52:00Z</dcterms:modified>
</cp:coreProperties>
</file>